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B034" w14:textId="0EAD3461" w:rsidR="003F6B65" w:rsidRPr="00291ABD" w:rsidRDefault="00590B7B" w:rsidP="003F6B65">
      <w:pPr>
        <w:spacing w:line="240" w:lineRule="auto"/>
        <w:rPr>
          <w:rFonts w:ascii="Times New Roman" w:hAnsi="Times New Roman" w:cs="Times New Roman"/>
          <w:color w:val="000000"/>
          <w:sz w:val="56"/>
          <w:lang w:val="en-GB"/>
        </w:rPr>
        <w:sectPr w:rsidR="003F6B65" w:rsidRPr="00291ABD" w:rsidSect="007740F6">
          <w:headerReference w:type="even" r:id="rId7"/>
          <w:headerReference w:type="default" r:id="rId8"/>
          <w:footerReference w:type="even" r:id="rId9"/>
          <w:footerReference w:type="default" r:id="rId10"/>
          <w:pgSz w:w="11907" w:h="16840" w:code="9"/>
          <w:pgMar w:top="1701" w:right="1418" w:bottom="1701" w:left="1418" w:header="720" w:footer="720" w:gutter="0"/>
          <w:pgNumType w:start="1"/>
          <w:cols w:num="2" w:space="567"/>
          <w:docGrid w:linePitch="360"/>
        </w:sectPr>
      </w:pPr>
      <w:r>
        <w:rPr>
          <w:noProof/>
        </w:rPr>
        <mc:AlternateContent>
          <mc:Choice Requires="wps">
            <w:drawing>
              <wp:anchor distT="45720" distB="45720" distL="114300" distR="114300" simplePos="0" relativeHeight="251662336" behindDoc="0" locked="0" layoutInCell="1" allowOverlap="1" wp14:anchorId="25BF2270" wp14:editId="5E167EC2">
                <wp:simplePos x="0" y="0"/>
                <wp:positionH relativeFrom="column">
                  <wp:posOffset>1356995</wp:posOffset>
                </wp:positionH>
                <wp:positionV relativeFrom="paragraph">
                  <wp:posOffset>-13335</wp:posOffset>
                </wp:positionV>
                <wp:extent cx="19621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35A82556" w14:textId="3719A9C3" w:rsidR="00590B7B" w:rsidRPr="00590B7B" w:rsidRDefault="00590B7B" w:rsidP="00590B7B">
                            <w:pPr>
                              <w:spacing w:after="0" w:line="240" w:lineRule="auto"/>
                              <w:rPr>
                                <w:rFonts w:ascii="Impact" w:hAnsi="Impact"/>
                                <w:sz w:val="32"/>
                                <w:szCs w:val="32"/>
                                <w:lang w:val="en-US"/>
                              </w:rPr>
                            </w:pPr>
                            <w:proofErr w:type="spellStart"/>
                            <w:r w:rsidRPr="00590B7B">
                              <w:rPr>
                                <w:rFonts w:ascii="Impact" w:hAnsi="Impact"/>
                                <w:sz w:val="32"/>
                                <w:szCs w:val="32"/>
                                <w:lang w:val="en-US"/>
                              </w:rPr>
                              <w:t>Scientium</w:t>
                            </w:r>
                            <w:proofErr w:type="spellEnd"/>
                            <w:r w:rsidRPr="00590B7B">
                              <w:rPr>
                                <w:rFonts w:ascii="Impact" w:hAnsi="Impact"/>
                                <w:sz w:val="32"/>
                                <w:szCs w:val="32"/>
                                <w:lang w:val="en-US"/>
                              </w:rPr>
                              <w:t xml:space="preserve"> Educational</w:t>
                            </w:r>
                          </w:p>
                          <w:p w14:paraId="6E926219" w14:textId="037A5EA7" w:rsidR="00590B7B" w:rsidRPr="00590B7B" w:rsidRDefault="00590B7B" w:rsidP="00590B7B">
                            <w:pPr>
                              <w:spacing w:after="0" w:line="240" w:lineRule="auto"/>
                              <w:rPr>
                                <w:rFonts w:ascii="Impact" w:hAnsi="Impact"/>
                                <w:sz w:val="32"/>
                                <w:szCs w:val="32"/>
                              </w:rPr>
                            </w:pPr>
                            <w:r w:rsidRPr="00590B7B">
                              <w:rPr>
                                <w:rFonts w:ascii="Impact" w:hAnsi="Impact"/>
                                <w:sz w:val="32"/>
                                <w:szCs w:val="32"/>
                                <w:lang w:val="en-US"/>
                              </w:rPr>
                              <w:t>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F2270" id="_x0000_t202" coordsize="21600,21600" o:spt="202" path="m,l,21600r21600,l21600,xe">
                <v:stroke joinstyle="miter"/>
                <v:path gradientshapeok="t" o:connecttype="rect"/>
              </v:shapetype>
              <v:shape id="Text Box 2" o:spid="_x0000_s1026" type="#_x0000_t202" style="position:absolute;margin-left:106.85pt;margin-top:-1.05pt;width:15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U+QEAAM4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" filled="f" stroked="f">
                <v:textbox style="mso-fit-shape-to-text:t">
                  <w:txbxContent>
                    <w:p w14:paraId="35A82556" w14:textId="3719A9C3" w:rsidR="00590B7B" w:rsidRPr="00590B7B" w:rsidRDefault="00590B7B" w:rsidP="00590B7B">
                      <w:pPr>
                        <w:spacing w:after="0" w:line="240" w:lineRule="auto"/>
                        <w:rPr>
                          <w:rFonts w:ascii="Impact" w:hAnsi="Impact"/>
                          <w:sz w:val="32"/>
                          <w:szCs w:val="32"/>
                          <w:lang w:val="en-US"/>
                        </w:rPr>
                      </w:pPr>
                      <w:proofErr w:type="spellStart"/>
                      <w:r w:rsidRPr="00590B7B">
                        <w:rPr>
                          <w:rFonts w:ascii="Impact" w:hAnsi="Impact"/>
                          <w:sz w:val="32"/>
                          <w:szCs w:val="32"/>
                          <w:lang w:val="en-US"/>
                        </w:rPr>
                        <w:t>Scientium</w:t>
                      </w:r>
                      <w:proofErr w:type="spellEnd"/>
                      <w:r w:rsidRPr="00590B7B">
                        <w:rPr>
                          <w:rFonts w:ascii="Impact" w:hAnsi="Impact"/>
                          <w:sz w:val="32"/>
                          <w:szCs w:val="32"/>
                          <w:lang w:val="en-US"/>
                        </w:rPr>
                        <w:t xml:space="preserve"> Educational</w:t>
                      </w:r>
                    </w:p>
                    <w:p w14:paraId="6E926219" w14:textId="037A5EA7" w:rsidR="00590B7B" w:rsidRPr="00590B7B" w:rsidRDefault="00590B7B" w:rsidP="00590B7B">
                      <w:pPr>
                        <w:spacing w:after="0" w:line="240" w:lineRule="auto"/>
                        <w:rPr>
                          <w:rFonts w:ascii="Impact" w:hAnsi="Impact"/>
                          <w:sz w:val="32"/>
                          <w:szCs w:val="32"/>
                        </w:rPr>
                      </w:pPr>
                      <w:r w:rsidRPr="00590B7B">
                        <w:rPr>
                          <w:rFonts w:ascii="Impact" w:hAnsi="Impact"/>
                          <w:sz w:val="32"/>
                          <w:szCs w:val="32"/>
                          <w:lang w:val="en-US"/>
                        </w:rPr>
                        <w:t>Review</w:t>
                      </w:r>
                    </w:p>
                  </w:txbxContent>
                </v:textbox>
              </v:shape>
            </w:pict>
          </mc:Fallback>
        </mc:AlternateContent>
      </w:r>
      <w:r w:rsidR="00B41C61">
        <w:rPr>
          <w:noProof/>
          <w:lang w:val="en-US" w:eastAsia="en-US"/>
        </w:rPr>
        <mc:AlternateContent>
          <mc:Choice Requires="wps">
            <w:drawing>
              <wp:anchor distT="0" distB="0" distL="114300" distR="114300" simplePos="0" relativeHeight="251657216" behindDoc="0" locked="0" layoutInCell="1" allowOverlap="1" wp14:anchorId="4AC7EA36" wp14:editId="10392B8A">
                <wp:simplePos x="0" y="0"/>
                <wp:positionH relativeFrom="column">
                  <wp:posOffset>-10160</wp:posOffset>
                </wp:positionH>
                <wp:positionV relativeFrom="paragraph">
                  <wp:posOffset>579120</wp:posOffset>
                </wp:positionV>
                <wp:extent cx="1438910" cy="253365"/>
                <wp:effectExtent l="0" t="0" r="0" b="0"/>
                <wp:wrapNone/>
                <wp:docPr id="7" name="Text Box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38910" cy="253365"/>
                        </a:xfrm>
                        <a:prstGeom prst="rect">
                          <a:avLst/>
                        </a:prstGeom>
                        <a:noFill/>
                      </wps:spPr>
                      <wps:txbx>
                        <w:txbxContent>
                          <w:p w14:paraId="7BC607CE" w14:textId="77777777" w:rsidR="003F6B65" w:rsidRPr="0070466B" w:rsidRDefault="003F6B65" w:rsidP="003F6B65">
                            <w:pPr>
                              <w:pStyle w:val="NormalWeb"/>
                              <w:spacing w:before="0" w:beforeAutospacing="0" w:after="0" w:afterAutospacing="0"/>
                              <w:rPr>
                                <w:color w:val="806000"/>
                                <w:sz w:val="20"/>
                                <w:szCs w:val="20"/>
                              </w:rPr>
                            </w:pPr>
                            <w:r w:rsidRPr="0070466B">
                              <w:rPr>
                                <w:rFonts w:ascii="Cambria" w:hAnsi="Cambria"/>
                                <w:b/>
                                <w:bCs/>
                                <w:color w:val="806000"/>
                                <w:kern w:val="24"/>
                                <w:sz w:val="20"/>
                                <w:szCs w:val="20"/>
                                <w:lang w:val="en-US"/>
                              </w:rPr>
                              <w:t xml:space="preserve">Scientia pro </w:t>
                            </w:r>
                            <w:proofErr w:type="spellStart"/>
                            <w:r w:rsidRPr="0070466B">
                              <w:rPr>
                                <w:rFonts w:ascii="Cambria" w:hAnsi="Cambria"/>
                                <w:b/>
                                <w:bCs/>
                                <w:color w:val="806000"/>
                                <w:kern w:val="24"/>
                                <w:sz w:val="20"/>
                                <w:szCs w:val="20"/>
                                <w:lang w:val="en-US"/>
                              </w:rPr>
                              <w:t>virtute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C7EA36" id="Text Box 7" o:spid="_x0000_s1027" type="#_x0000_t202" style="position:absolute;margin-left:-.8pt;margin-top:45.6pt;width:113.3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" filled="f" stroked="f">
                <v:textbox>
                  <w:txbxContent>
                    <w:p w14:paraId="7BC607CE" w14:textId="77777777" w:rsidR="003F6B65" w:rsidRPr="0070466B" w:rsidRDefault="003F6B65" w:rsidP="003F6B65">
                      <w:pPr>
                        <w:pStyle w:val="NormalWeb"/>
                        <w:spacing w:before="0" w:beforeAutospacing="0" w:after="0" w:afterAutospacing="0"/>
                        <w:rPr>
                          <w:color w:val="806000"/>
                          <w:sz w:val="20"/>
                          <w:szCs w:val="20"/>
                        </w:rPr>
                      </w:pPr>
                      <w:r w:rsidRPr="0070466B">
                        <w:rPr>
                          <w:rFonts w:ascii="Cambria" w:hAnsi="Cambria"/>
                          <w:b/>
                          <w:bCs/>
                          <w:color w:val="806000"/>
                          <w:kern w:val="24"/>
                          <w:sz w:val="20"/>
                          <w:szCs w:val="20"/>
                          <w:lang w:val="en-US"/>
                        </w:rPr>
                        <w:t xml:space="preserve">Scientia pro </w:t>
                      </w:r>
                      <w:proofErr w:type="spellStart"/>
                      <w:r w:rsidRPr="0070466B">
                        <w:rPr>
                          <w:rFonts w:ascii="Cambria" w:hAnsi="Cambria"/>
                          <w:b/>
                          <w:bCs/>
                          <w:color w:val="806000"/>
                          <w:kern w:val="24"/>
                          <w:sz w:val="20"/>
                          <w:szCs w:val="20"/>
                          <w:lang w:val="en-US"/>
                        </w:rPr>
                        <w:t>virtute</w:t>
                      </w:r>
                      <w:proofErr w:type="spellEnd"/>
                    </w:p>
                  </w:txbxContent>
                </v:textbox>
              </v:shape>
            </w:pict>
          </mc:Fallback>
        </mc:AlternateContent>
      </w:r>
      <w:r w:rsidR="003F6B65" w:rsidRPr="008B4C0A">
        <w:rPr>
          <w:noProof/>
        </w:rPr>
        <w:t xml:space="preserve"> </w:t>
      </w:r>
      <w:r w:rsidR="003F6B65">
        <w:rPr>
          <w:rFonts w:ascii="Times New Roman" w:hAnsi="Times New Roman" w:cs="Times New Roman"/>
          <w:noProof/>
          <w:color w:val="000000"/>
          <w:sz w:val="56"/>
          <w:lang w:val="en-US" w:eastAsia="en-US"/>
        </w:rPr>
        <w:drawing>
          <wp:inline distT="0" distB="0" distL="0" distR="0" wp14:anchorId="71444C2A" wp14:editId="642AEC1B">
            <wp:extent cx="1235075" cy="570230"/>
            <wp:effectExtent l="0" t="0" r="3175" b="127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075" cy="570230"/>
                    </a:xfrm>
                    <a:prstGeom prst="rect">
                      <a:avLst/>
                    </a:prstGeom>
                    <a:noFill/>
                    <a:ln>
                      <a:noFill/>
                    </a:ln>
                  </pic:spPr>
                </pic:pic>
              </a:graphicData>
            </a:graphic>
          </wp:inline>
        </w:drawing>
      </w:r>
      <w:r w:rsidR="003F6B65" w:rsidRPr="0070466B">
        <w:rPr>
          <w:noProof/>
        </w:rPr>
        <w:t xml:space="preserve"> </w:t>
      </w:r>
      <w:r w:rsidR="003F6B65">
        <w:rPr>
          <w:noProof/>
          <w:lang w:val="en-US" w:eastAsia="en-US"/>
        </w:rPr>
        <mc:AlternateContent>
          <mc:Choice Requires="wps">
            <w:drawing>
              <wp:anchor distT="0" distB="0" distL="114300" distR="114300" simplePos="0" relativeHeight="251660288" behindDoc="0" locked="0" layoutInCell="1" allowOverlap="1" wp14:anchorId="5DB0A398" wp14:editId="5C80EB9D">
                <wp:simplePos x="0" y="0"/>
                <wp:positionH relativeFrom="column">
                  <wp:posOffset>-13335</wp:posOffset>
                </wp:positionH>
                <wp:positionV relativeFrom="paragraph">
                  <wp:posOffset>-661035</wp:posOffset>
                </wp:positionV>
                <wp:extent cx="5600065" cy="266700"/>
                <wp:effectExtent l="0"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B7D49" w14:textId="77777777" w:rsidR="003F6B65" w:rsidRDefault="003F6B65" w:rsidP="003F6B6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A398" id="Rectangle 3" o:spid="_x0000_s1028" style="position:absolute;margin-left:-1.05pt;margin-top:-52.05pt;width:440.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" stroked="f">
                <v:textbox>
                  <w:txbxContent>
                    <w:p w14:paraId="141B7D49" w14:textId="77777777" w:rsidR="003F6B65" w:rsidRDefault="003F6B65" w:rsidP="003F6B65">
                      <w:pPr>
                        <w:jc w:val="right"/>
                      </w:pPr>
                    </w:p>
                  </w:txbxContent>
                </v:textbox>
              </v:rect>
            </w:pict>
          </mc:Fallback>
        </mc:AlternateContent>
      </w:r>
    </w:p>
    <w:p w14:paraId="023E9A34" w14:textId="77777777" w:rsidR="003F6B65" w:rsidRPr="007740F6" w:rsidRDefault="003F6B65" w:rsidP="003F6B65">
      <w:pPr>
        <w:tabs>
          <w:tab w:val="center" w:pos="4513"/>
          <w:tab w:val="right" w:pos="9026"/>
        </w:tabs>
        <w:spacing w:line="240" w:lineRule="auto"/>
        <w:rPr>
          <w:rFonts w:ascii="Times New Roman" w:hAnsi="Times New Roman" w:cs="Times New Roman"/>
          <w:color w:val="000000"/>
          <w:sz w:val="20"/>
          <w:lang w:val="nl-NL"/>
        </w:rPr>
      </w:pPr>
    </w:p>
    <w:p w14:paraId="36AE722A" w14:textId="77777777" w:rsidR="003F6B65" w:rsidRPr="004267AE" w:rsidRDefault="003F6B65" w:rsidP="003F6B65">
      <w:pPr>
        <w:pStyle w:val="SLRevTitle"/>
        <w:rPr>
          <w:rFonts w:ascii="Cambria Math" w:hAnsi="Cambria Math"/>
          <w:lang w:val="en-GB"/>
        </w:rPr>
      </w:pPr>
      <w:r w:rsidRPr="004267AE">
        <w:rPr>
          <w:rFonts w:ascii="Cambria Math" w:hAnsi="Cambria Math"/>
          <w:lang w:val="en-GB"/>
        </w:rPr>
        <w:t xml:space="preserve">The Title Are Written in </w:t>
      </w:r>
      <w:r>
        <w:rPr>
          <w:rFonts w:ascii="Cambria Math" w:hAnsi="Cambria Math"/>
          <w:lang w:val="en-GB"/>
        </w:rPr>
        <w:t>Cambria Math</w:t>
      </w:r>
      <w:r w:rsidRPr="004267AE">
        <w:rPr>
          <w:rFonts w:ascii="Cambria Math" w:hAnsi="Cambria Math"/>
          <w:lang w:val="en-GB"/>
        </w:rPr>
        <w:t xml:space="preserve"> (1</w:t>
      </w:r>
      <w:r>
        <w:rPr>
          <w:rFonts w:ascii="Cambria Math" w:hAnsi="Cambria Math"/>
          <w:lang w:val="en-GB"/>
        </w:rPr>
        <w:t>6</w:t>
      </w:r>
      <w:r w:rsidRPr="004267AE">
        <w:rPr>
          <w:rFonts w:ascii="Cambria Math" w:hAnsi="Cambria Math"/>
          <w:lang w:val="en-GB"/>
        </w:rPr>
        <w:t xml:space="preserve"> Pt) and Preferably Not More Than 1</w:t>
      </w:r>
      <w:r>
        <w:rPr>
          <w:rFonts w:ascii="Cambria Math" w:hAnsi="Cambria Math"/>
          <w:lang w:val="en-GB"/>
        </w:rPr>
        <w:t>4</w:t>
      </w:r>
      <w:r w:rsidRPr="004267AE">
        <w:rPr>
          <w:rFonts w:ascii="Cambria Math" w:hAnsi="Cambria Math"/>
          <w:lang w:val="en-GB"/>
        </w:rPr>
        <w:t xml:space="preserve"> Words</w:t>
      </w:r>
    </w:p>
    <w:p w14:paraId="5D5E94B8" w14:textId="77777777" w:rsidR="003F6B65" w:rsidRPr="004267AE" w:rsidRDefault="003F6B65" w:rsidP="003F6B65">
      <w:pPr>
        <w:spacing w:after="0" w:line="240" w:lineRule="auto"/>
        <w:jc w:val="center"/>
        <w:rPr>
          <w:rFonts w:ascii="Cambria Math" w:hAnsi="Cambria Math"/>
          <w:bCs/>
          <w:sz w:val="24"/>
          <w:szCs w:val="24"/>
          <w:lang w:val="en-GB"/>
        </w:rPr>
      </w:pPr>
    </w:p>
    <w:p w14:paraId="107C3110" w14:textId="77777777" w:rsidR="003F6B65" w:rsidRPr="004267AE" w:rsidRDefault="003F6B65" w:rsidP="003F6B65">
      <w:pPr>
        <w:spacing w:after="0" w:line="240" w:lineRule="auto"/>
        <w:jc w:val="center"/>
        <w:rPr>
          <w:rFonts w:ascii="Cambria Math" w:hAnsi="Cambria Math"/>
          <w:bCs/>
          <w:sz w:val="24"/>
          <w:szCs w:val="24"/>
          <w:vertAlign w:val="superscript"/>
        </w:rPr>
      </w:pPr>
      <w:r>
        <w:rPr>
          <w:rFonts w:ascii="Cambria Math" w:hAnsi="Cambria Math"/>
          <w:bCs/>
          <w:sz w:val="24"/>
          <w:szCs w:val="24"/>
          <w:lang w:val="en-GB"/>
        </w:rPr>
        <w:t xml:space="preserve">Dino </w:t>
      </w:r>
      <w:proofErr w:type="spellStart"/>
      <w:r>
        <w:rPr>
          <w:rFonts w:ascii="Cambria Math" w:hAnsi="Cambria Math"/>
          <w:bCs/>
          <w:sz w:val="24"/>
          <w:szCs w:val="24"/>
          <w:lang w:val="en-GB"/>
        </w:rPr>
        <w:t>Diko</w:t>
      </w:r>
      <w:proofErr w:type="spellEnd"/>
      <w:r>
        <w:rPr>
          <w:rFonts w:ascii="Cambria Math" w:hAnsi="Cambria Math"/>
          <w:bCs/>
          <w:sz w:val="24"/>
          <w:szCs w:val="24"/>
          <w:lang w:val="en-GB"/>
        </w:rPr>
        <w:t xml:space="preserve"> Dito</w:t>
      </w:r>
      <w:r>
        <w:rPr>
          <w:rFonts w:ascii="Cambria Math" w:hAnsi="Cambria Math"/>
          <w:bCs/>
          <w:sz w:val="24"/>
          <w:szCs w:val="24"/>
          <w:vertAlign w:val="superscript"/>
          <w:lang w:val="en-GB"/>
        </w:rPr>
        <w:t>1</w:t>
      </w:r>
      <w:r w:rsidRPr="004267AE">
        <w:rPr>
          <w:rFonts w:ascii="Cambria Math" w:hAnsi="Cambria Math"/>
          <w:bCs/>
          <w:sz w:val="24"/>
          <w:szCs w:val="24"/>
        </w:rPr>
        <w:t xml:space="preserve">, </w:t>
      </w:r>
      <w:proofErr w:type="spellStart"/>
      <w:r>
        <w:rPr>
          <w:rFonts w:ascii="Cambria Math" w:hAnsi="Cambria Math"/>
          <w:bCs/>
          <w:sz w:val="24"/>
          <w:szCs w:val="24"/>
          <w:lang w:val="en-GB"/>
        </w:rPr>
        <w:t>Ginto</w:t>
      </w:r>
      <w:proofErr w:type="spellEnd"/>
      <w:r>
        <w:rPr>
          <w:rFonts w:ascii="Cambria Math" w:hAnsi="Cambria Math"/>
          <w:bCs/>
          <w:sz w:val="24"/>
          <w:szCs w:val="24"/>
          <w:vertAlign w:val="superscript"/>
          <w:lang w:val="en-US"/>
        </w:rPr>
        <w:t>2</w:t>
      </w:r>
      <w:r w:rsidRPr="004267AE">
        <w:rPr>
          <w:rFonts w:ascii="Cambria Math" w:hAnsi="Cambria Math"/>
          <w:bCs/>
          <w:sz w:val="24"/>
          <w:szCs w:val="24"/>
        </w:rPr>
        <w:t xml:space="preserve">, </w:t>
      </w:r>
      <w:r>
        <w:rPr>
          <w:rFonts w:ascii="Cambria Math" w:hAnsi="Cambria Math"/>
          <w:bCs/>
          <w:sz w:val="24"/>
          <w:szCs w:val="24"/>
          <w:lang w:val="en-US"/>
        </w:rPr>
        <w:t xml:space="preserve">and </w:t>
      </w:r>
      <w:proofErr w:type="spellStart"/>
      <w:r>
        <w:rPr>
          <w:rFonts w:ascii="Cambria Math" w:hAnsi="Cambria Math"/>
          <w:bCs/>
          <w:sz w:val="24"/>
          <w:szCs w:val="24"/>
          <w:lang w:val="en-GB"/>
        </w:rPr>
        <w:t>Ganie</w:t>
      </w:r>
      <w:proofErr w:type="spellEnd"/>
      <w:r w:rsidRPr="004267AE">
        <w:rPr>
          <w:rFonts w:ascii="Cambria Math" w:hAnsi="Cambria Math"/>
          <w:bCs/>
          <w:sz w:val="24"/>
          <w:szCs w:val="24"/>
          <w:lang w:val="en-GB"/>
        </w:rPr>
        <w:t xml:space="preserve"> </w:t>
      </w:r>
      <w:r>
        <w:rPr>
          <w:rFonts w:ascii="Cambria Math" w:hAnsi="Cambria Math"/>
          <w:bCs/>
          <w:sz w:val="24"/>
          <w:szCs w:val="24"/>
          <w:lang w:val="en-GB"/>
        </w:rPr>
        <w:t>Toc</w:t>
      </w:r>
      <w:r w:rsidRPr="004267AE">
        <w:rPr>
          <w:rFonts w:ascii="Cambria Math" w:hAnsi="Cambria Math"/>
          <w:bCs/>
          <w:sz w:val="24"/>
          <w:szCs w:val="24"/>
          <w:lang w:val="en-GB"/>
        </w:rPr>
        <w:t xml:space="preserve"> </w:t>
      </w:r>
      <w:r>
        <w:rPr>
          <w:rFonts w:ascii="Cambria Math" w:hAnsi="Cambria Math"/>
          <w:bCs/>
          <w:sz w:val="24"/>
          <w:szCs w:val="24"/>
          <w:lang w:val="en-GB"/>
        </w:rPr>
        <w:t>E.</w:t>
      </w:r>
      <w:r>
        <w:rPr>
          <w:rFonts w:ascii="Cambria Math" w:hAnsi="Cambria Math"/>
          <w:bCs/>
          <w:sz w:val="24"/>
          <w:szCs w:val="24"/>
          <w:vertAlign w:val="superscript"/>
          <w:lang w:val="en-GB"/>
        </w:rPr>
        <w:t>2</w:t>
      </w:r>
    </w:p>
    <w:p w14:paraId="0772DA9A" w14:textId="77777777" w:rsidR="003F6B65" w:rsidRPr="004267AE" w:rsidRDefault="003F6B65" w:rsidP="003F6B65">
      <w:pPr>
        <w:spacing w:after="0" w:line="240" w:lineRule="auto"/>
        <w:jc w:val="center"/>
        <w:rPr>
          <w:rFonts w:ascii="Cambria Math" w:hAnsi="Cambria Math"/>
          <w:bCs/>
          <w:sz w:val="24"/>
          <w:szCs w:val="24"/>
          <w:vertAlign w:val="superscript"/>
        </w:rPr>
      </w:pPr>
    </w:p>
    <w:p w14:paraId="5C390ABA" w14:textId="77777777" w:rsidR="003F6B65" w:rsidRPr="004267AE" w:rsidRDefault="003F6B65" w:rsidP="003F6B65">
      <w:pPr>
        <w:pStyle w:val="Default"/>
        <w:ind w:left="284" w:hanging="284"/>
        <w:jc w:val="both"/>
        <w:rPr>
          <w:rFonts w:ascii="Cambria Math" w:hAnsi="Cambria Math"/>
          <w:bCs/>
          <w:i/>
          <w:color w:val="auto"/>
          <w:sz w:val="20"/>
          <w:szCs w:val="20"/>
          <w:lang w:val="en-GB"/>
        </w:rPr>
      </w:pPr>
      <w:r>
        <w:rPr>
          <w:rFonts w:ascii="Cambria Math" w:hAnsi="Cambria Math"/>
          <w:bCs/>
          <w:i/>
          <w:sz w:val="20"/>
          <w:szCs w:val="20"/>
          <w:vertAlign w:val="superscript"/>
          <w:lang w:val="en-US"/>
        </w:rPr>
        <w:t>1</w:t>
      </w:r>
      <w:r w:rsidRPr="004267AE">
        <w:rPr>
          <w:rFonts w:ascii="Cambria Math" w:hAnsi="Cambria Math"/>
          <w:bCs/>
          <w:i/>
          <w:sz w:val="20"/>
          <w:szCs w:val="20"/>
          <w:vertAlign w:val="superscript"/>
        </w:rPr>
        <w:tab/>
      </w:r>
      <w:r w:rsidRPr="004267AE">
        <w:rPr>
          <w:rFonts w:ascii="Cambria Math" w:hAnsi="Cambria Math"/>
          <w:bCs/>
          <w:i/>
          <w:sz w:val="20"/>
          <w:szCs w:val="20"/>
          <w:lang w:val="en-GB"/>
        </w:rPr>
        <w:t xml:space="preserve">Faculty of Law, </w:t>
      </w:r>
      <w:r>
        <w:rPr>
          <w:rFonts w:ascii="Cambria Math" w:hAnsi="Cambria Math"/>
          <w:i/>
          <w:color w:val="111111"/>
          <w:sz w:val="20"/>
          <w:szCs w:val="20"/>
          <w:shd w:val="clear" w:color="auto" w:fill="FFFFFF"/>
          <w:lang w:val="en-US"/>
        </w:rPr>
        <w:t xml:space="preserve">Universitas </w:t>
      </w:r>
      <w:proofErr w:type="spellStart"/>
      <w:proofErr w:type="gramStart"/>
      <w:r>
        <w:rPr>
          <w:rFonts w:ascii="Cambria Math" w:hAnsi="Cambria Math"/>
          <w:i/>
          <w:color w:val="111111"/>
          <w:sz w:val="20"/>
          <w:szCs w:val="20"/>
          <w:shd w:val="clear" w:color="auto" w:fill="FFFFFF"/>
          <w:lang w:val="en-US"/>
        </w:rPr>
        <w:t>Sriwijaya</w:t>
      </w:r>
      <w:proofErr w:type="spellEnd"/>
      <w:r w:rsidRPr="004267AE">
        <w:rPr>
          <w:rFonts w:ascii="Cambria Math" w:hAnsi="Cambria Math"/>
          <w:i/>
          <w:color w:val="111111"/>
          <w:sz w:val="20"/>
          <w:szCs w:val="20"/>
          <w:shd w:val="clear" w:color="auto" w:fill="FFFFFF"/>
        </w:rPr>
        <w:t>,</w:t>
      </w:r>
      <w:r>
        <w:rPr>
          <w:rFonts w:ascii="Cambria Math" w:hAnsi="Cambria Math"/>
          <w:i/>
          <w:color w:val="111111"/>
          <w:sz w:val="20"/>
          <w:szCs w:val="20"/>
          <w:shd w:val="clear" w:color="auto" w:fill="FFFFFF"/>
          <w:lang w:val="en-US"/>
        </w:rPr>
        <w:t>Palembang</w:t>
      </w:r>
      <w:proofErr w:type="gramEnd"/>
      <w:r>
        <w:rPr>
          <w:rFonts w:ascii="Cambria Math" w:hAnsi="Cambria Math"/>
          <w:i/>
          <w:color w:val="111111"/>
          <w:sz w:val="20"/>
          <w:szCs w:val="20"/>
          <w:shd w:val="clear" w:color="auto" w:fill="FFFFFF"/>
          <w:lang w:val="en-US"/>
        </w:rPr>
        <w:t>, Indonesia</w:t>
      </w:r>
      <w:r w:rsidRPr="004267AE">
        <w:rPr>
          <w:rFonts w:ascii="Cambria Math" w:hAnsi="Cambria Math"/>
          <w:bCs/>
          <w:i/>
          <w:sz w:val="20"/>
          <w:szCs w:val="20"/>
          <w:lang w:val="en-GB"/>
        </w:rPr>
        <w:t>.</w:t>
      </w:r>
      <w:r w:rsidRPr="004267AE">
        <w:rPr>
          <w:rFonts w:ascii="Cambria Math" w:hAnsi="Cambria Math"/>
          <w:bCs/>
          <w:i/>
          <w:sz w:val="20"/>
          <w:szCs w:val="20"/>
        </w:rPr>
        <w:t xml:space="preserve"> </w:t>
      </w:r>
      <w:r w:rsidRPr="004267AE">
        <w:rPr>
          <w:rFonts w:ascii="Cambria Math" w:hAnsi="Cambria Math"/>
          <w:i/>
          <w:sz w:val="20"/>
          <w:szCs w:val="20"/>
          <w:lang w:val="en-GB"/>
        </w:rPr>
        <w:t xml:space="preserve">E-mail: </w:t>
      </w:r>
    </w:p>
    <w:p w14:paraId="135D7809" w14:textId="77777777" w:rsidR="003F6B65" w:rsidRDefault="003F6B65" w:rsidP="003F6B65">
      <w:pPr>
        <w:pStyle w:val="Default"/>
        <w:ind w:left="285" w:hanging="285"/>
        <w:jc w:val="both"/>
        <w:rPr>
          <w:rFonts w:ascii="Cambria Math" w:hAnsi="Cambria Math"/>
          <w:bCs/>
          <w:i/>
          <w:color w:val="auto"/>
          <w:sz w:val="20"/>
          <w:szCs w:val="20"/>
          <w:lang w:val="en-GB"/>
        </w:rPr>
      </w:pPr>
      <w:r>
        <w:rPr>
          <w:rFonts w:ascii="Cambria Math" w:hAnsi="Cambria Math"/>
          <w:bCs/>
          <w:i/>
          <w:sz w:val="20"/>
          <w:szCs w:val="20"/>
          <w:vertAlign w:val="superscript"/>
          <w:lang w:val="en-US"/>
        </w:rPr>
        <w:t>2</w:t>
      </w:r>
      <w:r w:rsidRPr="004267AE">
        <w:rPr>
          <w:rFonts w:ascii="Cambria Math" w:hAnsi="Cambria Math"/>
          <w:bCs/>
          <w:i/>
          <w:sz w:val="20"/>
          <w:szCs w:val="20"/>
        </w:rPr>
        <w:tab/>
      </w:r>
      <w:r w:rsidRPr="004267AE">
        <w:rPr>
          <w:rFonts w:ascii="Cambria Math" w:hAnsi="Cambria Math"/>
          <w:bCs/>
          <w:i/>
          <w:sz w:val="20"/>
          <w:szCs w:val="20"/>
          <w:lang w:val="en-GB"/>
        </w:rPr>
        <w:t xml:space="preserve">Faculty of Law, Universitas </w:t>
      </w:r>
      <w:proofErr w:type="spellStart"/>
      <w:r>
        <w:rPr>
          <w:rFonts w:ascii="Cambria Math" w:hAnsi="Cambria Math"/>
          <w:bCs/>
          <w:i/>
          <w:sz w:val="20"/>
          <w:szCs w:val="20"/>
          <w:lang w:val="en-GB"/>
        </w:rPr>
        <w:t>Diponegoro</w:t>
      </w:r>
      <w:proofErr w:type="spellEnd"/>
      <w:r>
        <w:rPr>
          <w:rFonts w:ascii="Cambria Math" w:hAnsi="Cambria Math"/>
          <w:bCs/>
          <w:i/>
          <w:sz w:val="20"/>
          <w:szCs w:val="20"/>
          <w:lang w:val="en-GB"/>
        </w:rPr>
        <w:t>, Semarang</w:t>
      </w:r>
      <w:r w:rsidRPr="004267AE">
        <w:rPr>
          <w:rFonts w:ascii="Cambria Math" w:hAnsi="Cambria Math"/>
          <w:bCs/>
          <w:i/>
          <w:sz w:val="20"/>
          <w:szCs w:val="20"/>
          <w:lang w:val="en-GB"/>
        </w:rPr>
        <w:t>.</w:t>
      </w:r>
      <w:r>
        <w:rPr>
          <w:rFonts w:ascii="Cambria Math" w:hAnsi="Cambria Math"/>
          <w:bCs/>
          <w:i/>
          <w:sz w:val="20"/>
          <w:szCs w:val="20"/>
          <w:lang w:val="en-GB"/>
        </w:rPr>
        <w:t xml:space="preserve"> Indonesia.</w:t>
      </w:r>
      <w:r w:rsidRPr="004267AE">
        <w:rPr>
          <w:rFonts w:ascii="Cambria Math" w:hAnsi="Cambria Math"/>
          <w:bCs/>
          <w:i/>
          <w:color w:val="auto"/>
          <w:sz w:val="20"/>
          <w:szCs w:val="20"/>
          <w:lang w:val="en-GB"/>
        </w:rPr>
        <w:t xml:space="preserve"> E-mail: </w:t>
      </w:r>
    </w:p>
    <w:p w14:paraId="03D2AB6B" w14:textId="77777777" w:rsidR="003F6B65" w:rsidRPr="004267AE" w:rsidRDefault="003F6B65" w:rsidP="003F6B65">
      <w:pPr>
        <w:pStyle w:val="Default"/>
        <w:ind w:left="285" w:hanging="285"/>
        <w:jc w:val="both"/>
        <w:rPr>
          <w:rFonts w:ascii="Cambria Math" w:hAnsi="Cambria Math"/>
          <w:bCs/>
          <w:i/>
          <w:color w:val="auto"/>
          <w:sz w:val="20"/>
          <w:szCs w:val="20"/>
        </w:rPr>
      </w:pPr>
    </w:p>
    <w:p w14:paraId="4406D98C" w14:textId="77777777" w:rsidR="003F6B65" w:rsidRPr="004267AE" w:rsidRDefault="003F6B65" w:rsidP="003F6B65">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Cambria Math" w:hAnsi="Cambria Math" w:cs="Times New Roman"/>
          <w:b/>
          <w:color w:val="212121"/>
          <w:lang w:val="en-GB"/>
        </w:rPr>
      </w:pPr>
    </w:p>
    <w:tbl>
      <w:tblPr>
        <w:tblW w:w="9378"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58"/>
        <w:gridCol w:w="7020"/>
      </w:tblGrid>
      <w:tr w:rsidR="003F6B65" w:rsidRPr="00D5274D" w14:paraId="2CE08779" w14:textId="77777777" w:rsidTr="00E21F5E">
        <w:tc>
          <w:tcPr>
            <w:tcW w:w="2358" w:type="dxa"/>
            <w:shd w:val="clear" w:color="auto" w:fill="auto"/>
          </w:tcPr>
          <w:p w14:paraId="55D4BA1B"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color w:val="212121"/>
                <w:lang w:val="en-GB"/>
              </w:rPr>
            </w:pPr>
            <w:r w:rsidRPr="004267AE">
              <w:rPr>
                <w:rFonts w:ascii="Cambria Math" w:hAnsi="Cambria Math" w:cs="Times New Roman"/>
                <w:b/>
                <w:color w:val="212121"/>
                <w:lang w:val="en-GB"/>
              </w:rPr>
              <w:t xml:space="preserve">Article </w:t>
            </w:r>
          </w:p>
        </w:tc>
        <w:tc>
          <w:tcPr>
            <w:tcW w:w="7020" w:type="dxa"/>
            <w:shd w:val="clear" w:color="auto" w:fill="auto"/>
          </w:tcPr>
          <w:p w14:paraId="5CF48D60"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color w:val="212121"/>
                <w:lang w:val="en-GB"/>
              </w:rPr>
            </w:pPr>
            <w:r w:rsidRPr="004267AE">
              <w:rPr>
                <w:rFonts w:ascii="Cambria Math" w:hAnsi="Cambria Math" w:cs="Times New Roman"/>
                <w:b/>
                <w:color w:val="212121"/>
                <w:lang w:val="en-GB"/>
              </w:rPr>
              <w:t>Abstract</w:t>
            </w:r>
          </w:p>
        </w:tc>
      </w:tr>
      <w:tr w:rsidR="003F6B65" w:rsidRPr="00D5274D" w14:paraId="7BF7948A" w14:textId="77777777" w:rsidTr="00E21F5E">
        <w:tc>
          <w:tcPr>
            <w:tcW w:w="2358" w:type="dxa"/>
            <w:shd w:val="clear" w:color="auto" w:fill="D9D9D9"/>
          </w:tcPr>
          <w:p w14:paraId="3CBA0081"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sz w:val="20"/>
                <w:szCs w:val="20"/>
                <w:lang w:val="en-GB"/>
              </w:rPr>
            </w:pPr>
            <w:r w:rsidRPr="004267AE">
              <w:rPr>
                <w:rFonts w:ascii="Cambria Math" w:hAnsi="Cambria Math" w:cs="Times New Roman"/>
                <w:b/>
                <w:sz w:val="20"/>
                <w:szCs w:val="20"/>
                <w:lang w:val="en-GB"/>
              </w:rPr>
              <w:t>Keywords:</w:t>
            </w:r>
          </w:p>
          <w:p w14:paraId="46B21CA5" w14:textId="77777777" w:rsidR="003F6B65"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sz w:val="20"/>
                <w:szCs w:val="20"/>
                <w:lang w:val="en-GB"/>
              </w:rPr>
            </w:pPr>
            <w:r>
              <w:rPr>
                <w:rFonts w:ascii="Cambria Math" w:hAnsi="Cambria Math" w:cs="Times New Roman"/>
                <w:b/>
                <w:sz w:val="20"/>
                <w:szCs w:val="20"/>
                <w:lang w:val="en-GB"/>
              </w:rPr>
              <w:t>3-5 keywords; semicolon</w:t>
            </w:r>
            <w:r w:rsidRPr="004267AE">
              <w:rPr>
                <w:rFonts w:ascii="Cambria Math" w:hAnsi="Cambria Math" w:cs="Times New Roman"/>
                <w:b/>
                <w:sz w:val="20"/>
                <w:szCs w:val="20"/>
                <w:lang w:val="en-GB"/>
              </w:rPr>
              <w:t>.</w:t>
            </w:r>
          </w:p>
          <w:p w14:paraId="3A01C03B"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sz w:val="20"/>
                <w:szCs w:val="20"/>
                <w:lang w:val="en-GB"/>
              </w:rPr>
            </w:pPr>
          </w:p>
          <w:p w14:paraId="70386C8D" w14:textId="77777777" w:rsidR="003F6B65" w:rsidRPr="004267AE" w:rsidRDefault="003F6B65" w:rsidP="00E21F5E">
            <w:pPr>
              <w:spacing w:after="0" w:line="240" w:lineRule="auto"/>
              <w:jc w:val="both"/>
              <w:rPr>
                <w:rFonts w:ascii="Cambria Math" w:hAnsi="Cambria Math" w:cs="Times New Roman"/>
                <w:b/>
                <w:bCs/>
                <w:sz w:val="20"/>
                <w:szCs w:val="20"/>
                <w:lang w:val="en-GB"/>
              </w:rPr>
            </w:pPr>
            <w:r w:rsidRPr="004267AE">
              <w:rPr>
                <w:rFonts w:ascii="Cambria Math" w:hAnsi="Cambria Math" w:cs="Times New Roman"/>
                <w:b/>
                <w:bCs/>
                <w:sz w:val="20"/>
                <w:szCs w:val="20"/>
                <w:lang w:val="en-GB"/>
              </w:rPr>
              <w:t>History</w:t>
            </w:r>
            <w:r>
              <w:rPr>
                <w:rFonts w:ascii="Cambria Math" w:hAnsi="Cambria Math" w:cs="Times New Roman"/>
                <w:b/>
                <w:bCs/>
                <w:sz w:val="20"/>
                <w:szCs w:val="20"/>
                <w:lang w:val="en-GB"/>
              </w:rPr>
              <w:t xml:space="preserve"> of Article </w:t>
            </w:r>
          </w:p>
          <w:p w14:paraId="3FA94440" w14:textId="77777777" w:rsidR="003F6B65" w:rsidRPr="004267AE" w:rsidRDefault="003F6B65" w:rsidP="00E21F5E">
            <w:pPr>
              <w:spacing w:after="0" w:line="240" w:lineRule="auto"/>
              <w:jc w:val="both"/>
              <w:rPr>
                <w:rFonts w:ascii="Cambria Math" w:hAnsi="Cambria Math" w:cs="Times New Roman"/>
                <w:color w:val="000000"/>
                <w:sz w:val="20"/>
                <w:szCs w:val="20"/>
                <w:lang w:val="en-GB"/>
              </w:rPr>
            </w:pPr>
            <w:r w:rsidRPr="004267AE">
              <w:rPr>
                <w:rFonts w:ascii="Cambria Math" w:hAnsi="Cambria Math" w:cs="Times New Roman"/>
                <w:color w:val="000000"/>
                <w:sz w:val="20"/>
                <w:szCs w:val="20"/>
                <w:lang w:val="en-GB"/>
              </w:rPr>
              <w:t xml:space="preserve">Received: Apr </w:t>
            </w:r>
            <w:r>
              <w:rPr>
                <w:rFonts w:ascii="Cambria Math" w:hAnsi="Cambria Math" w:cs="Times New Roman"/>
                <w:color w:val="000000"/>
                <w:sz w:val="20"/>
                <w:szCs w:val="20"/>
                <w:lang w:val="en-GB"/>
              </w:rPr>
              <w:t>xx</w:t>
            </w:r>
            <w:r w:rsidRPr="004267AE">
              <w:rPr>
                <w:rFonts w:ascii="Cambria Math" w:hAnsi="Cambria Math" w:cs="Times New Roman"/>
                <w:color w:val="000000"/>
                <w:sz w:val="20"/>
                <w:szCs w:val="20"/>
                <w:lang w:val="en-GB"/>
              </w:rPr>
              <w:t>, 20</w:t>
            </w:r>
            <w:r>
              <w:rPr>
                <w:rFonts w:ascii="Cambria Math" w:hAnsi="Cambria Math" w:cs="Times New Roman"/>
                <w:color w:val="000000"/>
                <w:sz w:val="20"/>
                <w:szCs w:val="20"/>
                <w:lang w:val="en-GB"/>
              </w:rPr>
              <w:t>22</w:t>
            </w:r>
            <w:r w:rsidRPr="004267AE">
              <w:rPr>
                <w:rFonts w:ascii="Cambria Math" w:hAnsi="Cambria Math" w:cs="Times New Roman"/>
                <w:color w:val="000000"/>
                <w:sz w:val="20"/>
                <w:szCs w:val="20"/>
                <w:lang w:val="en-GB"/>
              </w:rPr>
              <w:t xml:space="preserve">; </w:t>
            </w:r>
          </w:p>
          <w:p w14:paraId="5BAC1BCC" w14:textId="77777777" w:rsidR="003F6B65" w:rsidRPr="004267AE" w:rsidRDefault="003F6B65" w:rsidP="00E21F5E">
            <w:pPr>
              <w:spacing w:after="0" w:line="240" w:lineRule="auto"/>
              <w:jc w:val="both"/>
              <w:rPr>
                <w:rFonts w:ascii="Cambria Math" w:hAnsi="Cambria Math" w:cs="Times New Roman"/>
                <w:color w:val="000000"/>
                <w:sz w:val="20"/>
                <w:szCs w:val="20"/>
                <w:lang w:val="en-GB"/>
              </w:rPr>
            </w:pPr>
            <w:r w:rsidRPr="004267AE">
              <w:rPr>
                <w:rFonts w:ascii="Cambria Math" w:hAnsi="Cambria Math" w:cs="Times New Roman"/>
                <w:color w:val="000000"/>
                <w:sz w:val="20"/>
                <w:szCs w:val="20"/>
                <w:lang w:val="en-GB"/>
              </w:rPr>
              <w:t>Reviewed:, 20</w:t>
            </w:r>
            <w:r>
              <w:rPr>
                <w:rFonts w:ascii="Cambria Math" w:hAnsi="Cambria Math" w:cs="Times New Roman"/>
                <w:color w:val="000000"/>
                <w:sz w:val="20"/>
                <w:szCs w:val="20"/>
                <w:lang w:val="en-GB"/>
              </w:rPr>
              <w:t>22</w:t>
            </w:r>
            <w:r w:rsidRPr="004267AE">
              <w:rPr>
                <w:rFonts w:ascii="Cambria Math" w:hAnsi="Cambria Math" w:cs="Times New Roman"/>
                <w:color w:val="000000"/>
                <w:sz w:val="20"/>
                <w:szCs w:val="20"/>
                <w:lang w:val="en-GB"/>
              </w:rPr>
              <w:t>;</w:t>
            </w:r>
          </w:p>
          <w:p w14:paraId="74B34510" w14:textId="77777777" w:rsidR="003F6B65" w:rsidRPr="004267AE" w:rsidRDefault="003F6B65" w:rsidP="00E21F5E">
            <w:pPr>
              <w:spacing w:after="0" w:line="240" w:lineRule="auto"/>
              <w:jc w:val="both"/>
              <w:rPr>
                <w:rFonts w:ascii="Cambria Math" w:hAnsi="Cambria Math" w:cs="Times New Roman"/>
                <w:color w:val="000000"/>
                <w:sz w:val="20"/>
                <w:szCs w:val="20"/>
                <w:lang w:val="en-GB"/>
              </w:rPr>
            </w:pPr>
            <w:r w:rsidRPr="004267AE">
              <w:rPr>
                <w:rFonts w:ascii="Cambria Math" w:hAnsi="Cambria Math" w:cs="Times New Roman"/>
                <w:color w:val="000000"/>
                <w:sz w:val="20"/>
                <w:szCs w:val="20"/>
                <w:lang w:val="en-GB"/>
              </w:rPr>
              <w:t>Accepted: , 2</w:t>
            </w:r>
            <w:r>
              <w:rPr>
                <w:rFonts w:ascii="Cambria Math" w:hAnsi="Cambria Math" w:cs="Times New Roman"/>
                <w:color w:val="000000"/>
                <w:sz w:val="20"/>
                <w:szCs w:val="20"/>
                <w:lang w:val="en-GB"/>
              </w:rPr>
              <w:t>022</w:t>
            </w:r>
            <w:r w:rsidRPr="004267AE">
              <w:rPr>
                <w:rFonts w:ascii="Cambria Math" w:hAnsi="Cambria Math" w:cs="Times New Roman"/>
                <w:color w:val="000000"/>
                <w:sz w:val="20"/>
                <w:szCs w:val="20"/>
                <w:lang w:val="en-GB"/>
              </w:rPr>
              <w:t xml:space="preserve">; </w:t>
            </w:r>
          </w:p>
          <w:p w14:paraId="1C6D5C7E"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sz w:val="20"/>
                <w:szCs w:val="20"/>
                <w:lang w:val="en-GB"/>
              </w:rPr>
            </w:pPr>
            <w:r w:rsidRPr="004267AE">
              <w:rPr>
                <w:rFonts w:ascii="Cambria Math" w:hAnsi="Cambria Math" w:cs="Times New Roman"/>
                <w:color w:val="000000"/>
                <w:sz w:val="20"/>
                <w:szCs w:val="20"/>
                <w:lang w:val="en-GB"/>
              </w:rPr>
              <w:t xml:space="preserve">Published: </w:t>
            </w:r>
            <w:r>
              <w:rPr>
                <w:rFonts w:ascii="Cambria Math" w:hAnsi="Cambria Math" w:cs="Times New Roman"/>
                <w:color w:val="000000"/>
                <w:sz w:val="20"/>
                <w:szCs w:val="20"/>
                <w:lang w:val="en-GB"/>
              </w:rPr>
              <w:t>April</w:t>
            </w:r>
            <w:r w:rsidRPr="004267AE">
              <w:rPr>
                <w:rFonts w:ascii="Cambria Math" w:hAnsi="Cambria Math" w:cs="Times New Roman"/>
                <w:color w:val="000000"/>
                <w:sz w:val="20"/>
                <w:szCs w:val="20"/>
                <w:lang w:val="en-GB"/>
              </w:rPr>
              <w:t xml:space="preserve"> 3</w:t>
            </w:r>
            <w:r>
              <w:rPr>
                <w:rFonts w:ascii="Cambria Math" w:hAnsi="Cambria Math" w:cs="Times New Roman"/>
                <w:color w:val="000000"/>
                <w:sz w:val="20"/>
                <w:szCs w:val="20"/>
                <w:lang w:val="en-GB"/>
              </w:rPr>
              <w:t>0</w:t>
            </w:r>
            <w:r w:rsidRPr="004267AE">
              <w:rPr>
                <w:rFonts w:ascii="Cambria Math" w:hAnsi="Cambria Math" w:cs="Times New Roman"/>
                <w:color w:val="000000"/>
                <w:sz w:val="20"/>
                <w:szCs w:val="20"/>
                <w:lang w:val="en-GB"/>
              </w:rPr>
              <w:t>, 20</w:t>
            </w:r>
            <w:r>
              <w:rPr>
                <w:rFonts w:ascii="Cambria Math" w:hAnsi="Cambria Math" w:cs="Times New Roman"/>
                <w:color w:val="000000"/>
                <w:sz w:val="20"/>
                <w:szCs w:val="20"/>
                <w:lang w:val="en-GB"/>
              </w:rPr>
              <w:t>22</w:t>
            </w:r>
          </w:p>
          <w:p w14:paraId="2A8213FC"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color w:val="212121"/>
                <w:sz w:val="20"/>
                <w:szCs w:val="20"/>
                <w:lang w:val="en-GB"/>
              </w:rPr>
            </w:pPr>
          </w:p>
          <w:p w14:paraId="5B456597" w14:textId="77777777" w:rsidR="003F6B65" w:rsidRPr="002C0E60" w:rsidRDefault="003F6B65" w:rsidP="00E21F5E">
            <w:pPr>
              <w:spacing w:after="0" w:line="240" w:lineRule="auto"/>
              <w:jc w:val="both"/>
              <w:rPr>
                <w:rFonts w:ascii="Cambria Math" w:hAnsi="Cambria Math" w:cs="Times New Roman"/>
                <w:color w:val="000000"/>
                <w:sz w:val="20"/>
                <w:szCs w:val="20"/>
                <w:lang w:val="en-GB"/>
              </w:rPr>
            </w:pPr>
            <w:r w:rsidRPr="004267AE">
              <w:rPr>
                <w:rFonts w:ascii="Cambria Math" w:hAnsi="Cambria Math" w:cs="Times New Roman"/>
                <w:b/>
                <w:bCs/>
                <w:sz w:val="20"/>
                <w:szCs w:val="20"/>
                <w:lang w:val="en-GB"/>
              </w:rPr>
              <w:t xml:space="preserve">DOI: </w:t>
            </w:r>
          </w:p>
        </w:tc>
        <w:tc>
          <w:tcPr>
            <w:tcW w:w="7020" w:type="dxa"/>
            <w:shd w:val="clear" w:color="auto" w:fill="auto"/>
          </w:tcPr>
          <w:p w14:paraId="105730CB" w14:textId="77777777" w:rsidR="003F6B65" w:rsidRPr="004267AE" w:rsidRDefault="003F6B65" w:rsidP="00E21F5E">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Cambria Math" w:hAnsi="Cambria Math" w:cs="Times New Roman"/>
                <w:b/>
                <w:color w:val="212121"/>
                <w:lang w:val="en-GB"/>
              </w:rPr>
            </w:pPr>
            <w:r w:rsidRPr="004267AE">
              <w:rPr>
                <w:rFonts w:ascii="Cambria Math" w:hAnsi="Cambria Math" w:cs="Times New Roman"/>
                <w:color w:val="212121"/>
                <w:lang w:val="en-GB"/>
              </w:rPr>
              <w:t>Abstract is written in English</w:t>
            </w:r>
            <w:r>
              <w:rPr>
                <w:rFonts w:ascii="Cambria Math" w:hAnsi="Cambria Math" w:cs="Times New Roman"/>
                <w:color w:val="212121"/>
                <w:lang w:val="en-GB"/>
              </w:rPr>
              <w:t>, Cambria Math</w:t>
            </w:r>
            <w:r w:rsidRPr="004267AE">
              <w:rPr>
                <w:rFonts w:ascii="Cambria Math" w:hAnsi="Cambria Math" w:cs="Times New Roman"/>
                <w:color w:val="212121"/>
                <w:lang w:val="en-GB"/>
              </w:rPr>
              <w:t xml:space="preserve"> (11pt)</w:t>
            </w:r>
            <w:r>
              <w:rPr>
                <w:rFonts w:ascii="Cambria Math" w:hAnsi="Cambria Math" w:cs="Times New Roman"/>
                <w:color w:val="212121"/>
                <w:lang w:val="en-GB"/>
              </w:rPr>
              <w:t>,</w:t>
            </w:r>
            <w:r w:rsidRPr="004267AE">
              <w:rPr>
                <w:rFonts w:ascii="Cambria Math" w:hAnsi="Cambria Math" w:cs="Times New Roman"/>
                <w:color w:val="212121"/>
                <w:lang w:val="en-GB"/>
              </w:rPr>
              <w:t xml:space="preserve"> </w:t>
            </w:r>
            <w:r w:rsidRPr="004267AE">
              <w:rPr>
                <w:rFonts w:ascii="Cambria Math" w:hAnsi="Cambria Math" w:cs="Times New Roman"/>
                <w:color w:val="212121"/>
              </w:rPr>
              <w:t xml:space="preserve">is </w:t>
            </w:r>
            <w:r w:rsidRPr="004267AE">
              <w:rPr>
                <w:rFonts w:ascii="Cambria Math" w:hAnsi="Cambria Math" w:cs="Times New Roman"/>
                <w:color w:val="212121"/>
                <w:lang w:val="en-GB"/>
              </w:rPr>
              <w:t xml:space="preserve">preferably between </w:t>
            </w:r>
            <w:r w:rsidRPr="004267AE">
              <w:rPr>
                <w:rFonts w:ascii="Cambria Math" w:hAnsi="Cambria Math" w:cs="Times New Roman"/>
                <w:color w:val="212121"/>
              </w:rPr>
              <w:t>150</w:t>
            </w:r>
            <w:r w:rsidRPr="004267AE">
              <w:rPr>
                <w:rFonts w:ascii="Cambria Math" w:hAnsi="Cambria Math" w:cs="Times New Roman"/>
                <w:color w:val="212121"/>
                <w:lang w:val="en-GB"/>
              </w:rPr>
              <w:t>-</w:t>
            </w:r>
            <w:r>
              <w:rPr>
                <w:rFonts w:ascii="Cambria Math" w:hAnsi="Cambria Math" w:cs="Times New Roman"/>
                <w:color w:val="212121"/>
                <w:lang w:val="en-GB"/>
              </w:rPr>
              <w:t>250</w:t>
            </w:r>
            <w:r w:rsidRPr="004267AE">
              <w:rPr>
                <w:rFonts w:ascii="Cambria Math" w:hAnsi="Cambria Math" w:cs="Times New Roman"/>
                <w:color w:val="212121"/>
                <w:lang w:val="en-GB"/>
              </w:rPr>
              <w:t xml:space="preserve"> words. The abstract should be clear, concise, and descriptive. This abstract should provide a brief introduction to the problem, objective of paper, followed by a statement regarding the method</w:t>
            </w:r>
            <w:r>
              <w:rPr>
                <w:rFonts w:ascii="Cambria Math" w:hAnsi="Cambria Math" w:cs="Times New Roman"/>
                <w:color w:val="212121"/>
                <w:lang w:val="en-GB"/>
              </w:rPr>
              <w:t>s</w:t>
            </w:r>
            <w:r w:rsidRPr="004267AE">
              <w:rPr>
                <w:rFonts w:ascii="Cambria Math" w:hAnsi="Cambria Math" w:cs="Times New Roman"/>
                <w:color w:val="212121"/>
                <w:lang w:val="en-GB"/>
              </w:rPr>
              <w:t xml:space="preserve"> if the manuscript is taken </w:t>
            </w:r>
            <w:r w:rsidRPr="004267AE">
              <w:rPr>
                <w:rFonts w:ascii="Cambria Math" w:hAnsi="Cambria Math" w:cs="Times New Roman"/>
                <w:color w:val="212121"/>
              </w:rPr>
              <w:t>from</w:t>
            </w:r>
            <w:r w:rsidRPr="004267AE">
              <w:rPr>
                <w:rFonts w:ascii="Cambria Math" w:hAnsi="Cambria Math" w:cs="Times New Roman"/>
                <w:color w:val="212121"/>
                <w:lang w:val="en-GB"/>
              </w:rPr>
              <w:t xml:space="preserve"> research report and a brief summary of results.</w:t>
            </w:r>
          </w:p>
        </w:tc>
      </w:tr>
      <w:tr w:rsidR="003F6B65" w:rsidRPr="00D5274D" w14:paraId="7DFF73F0" w14:textId="77777777" w:rsidTr="00E21F5E">
        <w:tc>
          <w:tcPr>
            <w:tcW w:w="9378" w:type="dxa"/>
            <w:gridSpan w:val="2"/>
            <w:shd w:val="clear" w:color="auto" w:fill="FFFFFF"/>
          </w:tcPr>
          <w:p w14:paraId="640A6632" w14:textId="77777777" w:rsidR="003F6B65" w:rsidRPr="004267AE" w:rsidRDefault="003F6B65" w:rsidP="00E21F5E">
            <w:pPr>
              <w:autoSpaceDE w:val="0"/>
              <w:autoSpaceDN w:val="0"/>
              <w:adjustRightInd w:val="0"/>
              <w:spacing w:after="0" w:line="240" w:lineRule="auto"/>
              <w:jc w:val="both"/>
              <w:rPr>
                <w:rFonts w:ascii="Cambria Math" w:hAnsi="Cambria Math" w:cs="TimesNewRomanPSMT"/>
                <w:color w:val="000000"/>
                <w:sz w:val="20"/>
                <w:szCs w:val="20"/>
              </w:rPr>
            </w:pPr>
            <w:r w:rsidRPr="004267AE">
              <w:rPr>
                <w:rFonts w:ascii="Cambria Math" w:hAnsi="Cambria Math" w:cs="TimesNewRomanPSMT"/>
                <w:color w:val="000000"/>
                <w:sz w:val="20"/>
                <w:szCs w:val="20"/>
                <w:lang w:val="en-US" w:eastAsia="en-US"/>
              </w:rPr>
              <w:t xml:space="preserve">©2019; This is an Open </w:t>
            </w:r>
            <w:proofErr w:type="spellStart"/>
            <w:r w:rsidRPr="004267AE">
              <w:rPr>
                <w:rFonts w:ascii="Cambria Math" w:hAnsi="Cambria Math" w:cs="TimesNewRomanPSMT"/>
                <w:color w:val="000000"/>
                <w:sz w:val="20"/>
                <w:szCs w:val="20"/>
                <w:lang w:val="en-US" w:eastAsia="en-US"/>
              </w:rPr>
              <w:t>Acces</w:t>
            </w:r>
            <w:proofErr w:type="spellEnd"/>
            <w:r w:rsidRPr="004267AE">
              <w:rPr>
                <w:rFonts w:ascii="Cambria Math" w:hAnsi="Cambria Math" w:cs="TimesNewRomanPSMT"/>
                <w:color w:val="000000"/>
                <w:sz w:val="20"/>
                <w:szCs w:val="20"/>
                <w:lang w:val="en-US" w:eastAsia="en-US"/>
              </w:rPr>
              <w:t xml:space="preserve"> Research distributed under the term of the Creative Commons Attribution </w:t>
            </w:r>
            <w:proofErr w:type="spellStart"/>
            <w:r w:rsidRPr="004267AE">
              <w:rPr>
                <w:rFonts w:ascii="Cambria Math" w:hAnsi="Cambria Math" w:cs="TimesNewRomanPSMT"/>
                <w:color w:val="000000"/>
                <w:sz w:val="20"/>
                <w:szCs w:val="20"/>
                <w:lang w:val="en-US" w:eastAsia="en-US"/>
              </w:rPr>
              <w:t>Licencee</w:t>
            </w:r>
            <w:proofErr w:type="spellEnd"/>
            <w:r w:rsidRPr="004267AE">
              <w:rPr>
                <w:rFonts w:ascii="Cambria Math" w:hAnsi="Cambria Math" w:cs="TimesNewRomanPSMT"/>
                <w:color w:val="000000"/>
                <w:sz w:val="20"/>
                <w:szCs w:val="20"/>
                <w:lang w:val="en-US" w:eastAsia="en-US"/>
              </w:rPr>
              <w:t xml:space="preserve"> (</w:t>
            </w:r>
            <w:r w:rsidRPr="004267AE">
              <w:rPr>
                <w:rFonts w:ascii="Cambria Math" w:hAnsi="Cambria Math" w:cs="TimesNewRomanPSMT"/>
                <w:color w:val="1E3BFF"/>
                <w:sz w:val="20"/>
                <w:szCs w:val="20"/>
                <w:lang w:val="en-US" w:eastAsia="en-US"/>
              </w:rPr>
              <w:t>https://Creativecommons.org/licences/by/4.0</w:t>
            </w:r>
            <w:r w:rsidRPr="004267AE">
              <w:rPr>
                <w:rFonts w:ascii="Cambria Math" w:hAnsi="Cambria Math" w:cs="TimesNewRomanPSMT"/>
                <w:color w:val="000000"/>
                <w:sz w:val="20"/>
                <w:szCs w:val="20"/>
                <w:lang w:val="en-US" w:eastAsia="en-US"/>
              </w:rPr>
              <w:t>), which permits unrestricted use, distribution, and reproduction in any medium, provided the original works is properly cited.</w:t>
            </w:r>
          </w:p>
        </w:tc>
      </w:tr>
    </w:tbl>
    <w:p w14:paraId="4C0FADFB" w14:textId="77777777" w:rsidR="003F6B65" w:rsidRPr="0049238E" w:rsidRDefault="003F6B65" w:rsidP="003F6B65">
      <w:pPr>
        <w:pStyle w:val="Heading1"/>
        <w:rPr>
          <w:rFonts w:ascii="Cambria Math" w:hAnsi="Cambria Math"/>
          <w:b w:val="0"/>
          <w:lang w:val="en-GB"/>
        </w:rPr>
      </w:pPr>
    </w:p>
    <w:p w14:paraId="10925053" w14:textId="77777777" w:rsidR="003F6B65" w:rsidRPr="004267AE" w:rsidRDefault="003F6B65" w:rsidP="003F6B65">
      <w:pPr>
        <w:pStyle w:val="Heading1"/>
        <w:numPr>
          <w:ilvl w:val="0"/>
          <w:numId w:val="6"/>
        </w:numPr>
        <w:ind w:left="426" w:hanging="426"/>
        <w:rPr>
          <w:rFonts w:ascii="Cambria Math" w:hAnsi="Cambria Math"/>
          <w:lang w:val="en-GB"/>
        </w:rPr>
      </w:pPr>
      <w:r w:rsidRPr="004267AE">
        <w:rPr>
          <w:rFonts w:ascii="Cambria Math" w:hAnsi="Cambria Math"/>
          <w:lang w:val="en-GB"/>
        </w:rPr>
        <w:t>INTRODUCTION</w:t>
      </w:r>
    </w:p>
    <w:p w14:paraId="58204755" w14:textId="77777777" w:rsidR="003F6B65" w:rsidRPr="004267AE" w:rsidRDefault="003F6B65" w:rsidP="003F6B65">
      <w:pPr>
        <w:pStyle w:val="ListParagraph"/>
        <w:spacing w:after="0"/>
        <w:ind w:left="0"/>
        <w:jc w:val="both"/>
        <w:rPr>
          <w:rFonts w:ascii="Cambria Math" w:hAnsi="Cambria Math"/>
          <w:sz w:val="24"/>
          <w:szCs w:val="24"/>
        </w:rPr>
      </w:pPr>
      <w:r w:rsidRPr="004267AE">
        <w:rPr>
          <w:rFonts w:ascii="Cambria Math" w:hAnsi="Cambria Math"/>
          <w:sz w:val="24"/>
          <w:szCs w:val="24"/>
          <w:lang w:val="en-GB"/>
        </w:rPr>
        <w:t>The introduction should be clear and provide for the issue to be discussed in the manuscript.</w:t>
      </w:r>
      <w:r w:rsidRPr="004267AE">
        <w:rPr>
          <w:rStyle w:val="FootnoteReference"/>
          <w:rFonts w:ascii="Cambria Math" w:hAnsi="Cambria Math"/>
          <w:lang w:val="en-GB"/>
        </w:rPr>
        <w:footnoteReference w:id="1"/>
      </w:r>
      <w:r w:rsidRPr="004267AE">
        <w:rPr>
          <w:rFonts w:ascii="Cambria Math" w:hAnsi="Cambria Math"/>
          <w:sz w:val="24"/>
          <w:szCs w:val="24"/>
          <w:lang w:val="en-GB"/>
        </w:rPr>
        <w:t xml:space="preserve"> Before the objective, authors should provide an adequate background, and very short literature survey in order to record the existing </w:t>
      </w:r>
      <w:r w:rsidRPr="004267AE">
        <w:rPr>
          <w:rFonts w:ascii="Cambria Math" w:hAnsi="Cambria Math"/>
          <w:sz w:val="24"/>
          <w:szCs w:val="24"/>
        </w:rPr>
        <w:t>conditions</w:t>
      </w:r>
      <w:r w:rsidRPr="004267AE">
        <w:rPr>
          <w:rFonts w:ascii="Cambria Math" w:hAnsi="Cambria Math"/>
          <w:sz w:val="24"/>
          <w:szCs w:val="24"/>
          <w:lang w:val="en-GB"/>
        </w:rPr>
        <w:t xml:space="preserve">, to show which is the best of previous researches, to show the main limitation of the previous researches, to show what you </w:t>
      </w:r>
      <w:r w:rsidRPr="004267AE">
        <w:rPr>
          <w:rFonts w:ascii="Cambria Math" w:hAnsi="Cambria Math"/>
          <w:sz w:val="24"/>
          <w:szCs w:val="24"/>
        </w:rPr>
        <w:t xml:space="preserve">want </w:t>
      </w:r>
      <w:r w:rsidRPr="004267AE">
        <w:rPr>
          <w:rFonts w:ascii="Cambria Math" w:hAnsi="Cambria Math"/>
          <w:sz w:val="24"/>
          <w:szCs w:val="24"/>
          <w:lang w:val="en-GB"/>
        </w:rPr>
        <w:t xml:space="preserve">to achieve (to solve the limitation), and to show the scientific merit or novelties of the paper. At the end of the paragraph, the author/s should end with a </w:t>
      </w:r>
      <w:r w:rsidRPr="004267AE">
        <w:rPr>
          <w:rFonts w:ascii="Cambria Math" w:hAnsi="Cambria Math"/>
          <w:sz w:val="24"/>
          <w:szCs w:val="24"/>
          <w:lang w:val="en-GB"/>
        </w:rPr>
        <w:lastRenderedPageBreak/>
        <w:t>comment on the significance concerning identification of the issue</w:t>
      </w:r>
      <w:r w:rsidRPr="004267AE">
        <w:rPr>
          <w:rStyle w:val="FootnoteReference"/>
          <w:rFonts w:ascii="Cambria Math" w:hAnsi="Cambria Math"/>
          <w:lang w:val="en-GB"/>
        </w:rPr>
        <w:footnoteReference w:id="2"/>
      </w:r>
      <w:r w:rsidRPr="004267AE">
        <w:rPr>
          <w:rStyle w:val="FootnoteReference"/>
          <w:rFonts w:ascii="Cambria Math" w:hAnsi="Cambria Math"/>
          <w:lang w:val="en-GB"/>
        </w:rPr>
        <w:t xml:space="preserve"> </w:t>
      </w:r>
      <w:r w:rsidRPr="004267AE">
        <w:rPr>
          <w:rFonts w:ascii="Cambria Math" w:hAnsi="Cambria Math"/>
          <w:sz w:val="24"/>
          <w:szCs w:val="24"/>
          <w:lang w:val="en-GB"/>
        </w:rPr>
        <w:t xml:space="preserve"> and objective of the research. </w:t>
      </w:r>
    </w:p>
    <w:p w14:paraId="695D7725" w14:textId="77777777" w:rsidR="003F6B65" w:rsidRPr="004267AE" w:rsidRDefault="003F6B65" w:rsidP="003F6B65">
      <w:pPr>
        <w:pStyle w:val="ListParagraph"/>
        <w:spacing w:after="0"/>
        <w:ind w:left="0" w:firstLine="426"/>
        <w:jc w:val="both"/>
        <w:rPr>
          <w:rFonts w:ascii="Cambria Math" w:hAnsi="Cambria Math"/>
          <w:sz w:val="24"/>
          <w:szCs w:val="24"/>
        </w:rPr>
      </w:pPr>
      <w:r w:rsidRPr="004267AE">
        <w:rPr>
          <w:rFonts w:ascii="Cambria Math" w:hAnsi="Cambria Math"/>
          <w:sz w:val="24"/>
          <w:szCs w:val="24"/>
        </w:rPr>
        <w:t>The manuscript written by the author whose English is the second language needs to be proofread. Ignore to this requirement results in the rejection of the manuscript.</w:t>
      </w:r>
      <w:r w:rsidRPr="004267AE">
        <w:rPr>
          <w:rStyle w:val="FootnoteReference"/>
          <w:rFonts w:ascii="Cambria Math" w:hAnsi="Cambria Math"/>
        </w:rPr>
        <w:footnoteReference w:id="3"/>
      </w:r>
    </w:p>
    <w:p w14:paraId="41B0BC87" w14:textId="77777777" w:rsidR="003F6B65" w:rsidRPr="004267AE" w:rsidRDefault="003F6B65" w:rsidP="003F6B65">
      <w:pPr>
        <w:pStyle w:val="Heading1"/>
        <w:numPr>
          <w:ilvl w:val="0"/>
          <w:numId w:val="6"/>
        </w:numPr>
        <w:ind w:left="426" w:hanging="426"/>
        <w:rPr>
          <w:rFonts w:ascii="Cambria Math" w:hAnsi="Cambria Math"/>
          <w:lang w:val="en-GB"/>
        </w:rPr>
      </w:pPr>
      <w:r w:rsidRPr="004267AE">
        <w:rPr>
          <w:rFonts w:ascii="Cambria Math" w:hAnsi="Cambria Math"/>
          <w:lang w:val="en-GB"/>
        </w:rPr>
        <w:t>METHODS</w:t>
      </w:r>
    </w:p>
    <w:p w14:paraId="343D6B13" w14:textId="77777777" w:rsidR="003F6B65" w:rsidRPr="004267AE" w:rsidRDefault="003F6B65" w:rsidP="003F6B65">
      <w:pPr>
        <w:pStyle w:val="ListParagraph"/>
        <w:spacing w:after="0"/>
        <w:ind w:left="0"/>
        <w:jc w:val="both"/>
        <w:rPr>
          <w:rFonts w:ascii="Cambria Math" w:hAnsi="Cambria Math"/>
          <w:sz w:val="24"/>
          <w:szCs w:val="24"/>
          <w:lang w:val="en-GB"/>
        </w:rPr>
      </w:pPr>
      <w:r w:rsidRPr="004267AE">
        <w:rPr>
          <w:rFonts w:ascii="Cambria Math" w:hAnsi="Cambria Math"/>
          <w:sz w:val="24"/>
          <w:szCs w:val="24"/>
          <w:lang w:val="en-GB"/>
        </w:rPr>
        <w:t>The method is optional for original research articles. This method is written in descriptive and should provide a statement regarding the methodology of the research.</w:t>
      </w:r>
      <w:r w:rsidRPr="004267AE">
        <w:rPr>
          <w:rFonts w:ascii="Cambria Math" w:hAnsi="Cambria Math"/>
          <w:sz w:val="24"/>
          <w:szCs w:val="24"/>
        </w:rPr>
        <w:t xml:space="preserve"> </w:t>
      </w:r>
      <w:r w:rsidRPr="004267AE">
        <w:rPr>
          <w:rFonts w:ascii="Cambria Math" w:hAnsi="Cambria Math"/>
          <w:sz w:val="24"/>
          <w:szCs w:val="24"/>
          <w:lang w:val="en-GB"/>
        </w:rPr>
        <w:t xml:space="preserve">This method </w:t>
      </w:r>
      <w:r w:rsidRPr="004267AE">
        <w:rPr>
          <w:rFonts w:ascii="Cambria Math" w:hAnsi="Cambria Math"/>
          <w:sz w:val="24"/>
          <w:szCs w:val="24"/>
        </w:rPr>
        <w:t xml:space="preserve">is </w:t>
      </w:r>
      <w:r w:rsidRPr="004267AE">
        <w:rPr>
          <w:rFonts w:ascii="Cambria Math" w:hAnsi="Cambria Math"/>
          <w:sz w:val="24"/>
          <w:szCs w:val="24"/>
          <w:lang w:val="en-GB"/>
        </w:rPr>
        <w:t xml:space="preserve">as much as possible give an idea to the reader. </w:t>
      </w:r>
    </w:p>
    <w:p w14:paraId="33417E30" w14:textId="77777777" w:rsidR="003F6B65" w:rsidRPr="004267AE" w:rsidRDefault="003F6B65" w:rsidP="003F6B65">
      <w:pPr>
        <w:pStyle w:val="Heading1"/>
        <w:numPr>
          <w:ilvl w:val="0"/>
          <w:numId w:val="6"/>
        </w:numPr>
        <w:ind w:left="426" w:hanging="426"/>
        <w:rPr>
          <w:rFonts w:ascii="Cambria Math" w:hAnsi="Cambria Math"/>
          <w:lang w:val="en-GB"/>
        </w:rPr>
      </w:pPr>
      <w:r w:rsidRPr="004267AE">
        <w:rPr>
          <w:rFonts w:ascii="Cambria Math" w:hAnsi="Cambria Math"/>
          <w:lang w:val="en-GB"/>
        </w:rPr>
        <w:t>ANALYSIS AND DISCUSSION</w:t>
      </w:r>
    </w:p>
    <w:p w14:paraId="7292B972" w14:textId="77777777" w:rsidR="003F6B65" w:rsidRDefault="003F6B65" w:rsidP="003F6B65">
      <w:pPr>
        <w:pStyle w:val="BodyText3"/>
        <w:spacing w:after="0"/>
        <w:jc w:val="both"/>
        <w:rPr>
          <w:rFonts w:ascii="Cambria Math" w:hAnsi="Cambria Math" w:cs="Times New Roman"/>
          <w:sz w:val="24"/>
          <w:szCs w:val="24"/>
          <w:lang w:val="en-GB"/>
        </w:rPr>
      </w:pPr>
      <w:r w:rsidRPr="004267AE">
        <w:rPr>
          <w:rFonts w:ascii="Cambria Math" w:hAnsi="Cambria Math" w:cs="Times New Roman"/>
          <w:sz w:val="24"/>
          <w:szCs w:val="24"/>
          <w:lang w:val="en-GB"/>
        </w:rPr>
        <w:t xml:space="preserve">This section is the most important section of your article. The analysis or results of the research should clear and concise. The results should summarize (scientific) findings rather than providing data in great detail. Please highlight differences between your results or findings and the previous publications by other researchers. </w:t>
      </w:r>
    </w:p>
    <w:p w14:paraId="01E14B98" w14:textId="77777777" w:rsidR="003F6B65" w:rsidRPr="0049238E" w:rsidRDefault="003F6B65" w:rsidP="003F6B65">
      <w:pPr>
        <w:pStyle w:val="ListParagraph"/>
        <w:spacing w:before="120" w:after="0" w:line="240" w:lineRule="auto"/>
        <w:ind w:left="0"/>
        <w:contextualSpacing w:val="0"/>
        <w:jc w:val="both"/>
        <w:rPr>
          <w:rFonts w:ascii="Cambria Math" w:hAnsi="Cambria Math" w:cs="Calibri Light"/>
          <w:sz w:val="24"/>
          <w:szCs w:val="24"/>
        </w:rPr>
      </w:pPr>
      <w:r w:rsidRPr="0049238E">
        <w:rPr>
          <w:rFonts w:ascii="Cambria Math" w:hAnsi="Cambria Math" w:cs="Calibri Light"/>
          <w:sz w:val="24"/>
          <w:szCs w:val="24"/>
        </w:rPr>
        <w:t>Tables and Figures are presented center and cited in the manuscript. The figures should be clearly readable and at least have a resolution of 300 DPI (Dots Per Inch) for good printing quality. Table made with the open model (without the vertical lines) as shown below:</w:t>
      </w:r>
    </w:p>
    <w:p w14:paraId="3B1DBF64" w14:textId="77777777" w:rsidR="003F6B65" w:rsidRDefault="003F6B65" w:rsidP="003F6B65">
      <w:pPr>
        <w:pStyle w:val="BodyText3"/>
        <w:spacing w:after="0"/>
        <w:jc w:val="both"/>
        <w:rPr>
          <w:rFonts w:ascii="Cambria Math" w:hAnsi="Cambria Math" w:cs="Times New Roman"/>
          <w:sz w:val="24"/>
          <w:szCs w:val="24"/>
          <w:lang w:val="en-GB"/>
        </w:rPr>
      </w:pPr>
    </w:p>
    <w:p w14:paraId="7F442982" w14:textId="77777777" w:rsidR="003F6B65" w:rsidRPr="0049238E" w:rsidRDefault="003F6B65" w:rsidP="003F6B65">
      <w:pPr>
        <w:pStyle w:val="SLRevTabel"/>
        <w:rPr>
          <w:rFonts w:ascii="Cambria Math" w:hAnsi="Cambria Math"/>
          <w:lang w:val="id-ID"/>
        </w:rPr>
      </w:pPr>
      <w:r w:rsidRPr="004267AE">
        <w:rPr>
          <w:rFonts w:ascii="Cambria Math" w:hAnsi="Cambria Math"/>
          <w:lang w:val="en-GB"/>
        </w:rPr>
        <w:t>Tab</w:t>
      </w:r>
      <w:r w:rsidRPr="004267AE">
        <w:rPr>
          <w:rFonts w:ascii="Cambria Math" w:hAnsi="Cambria Math"/>
          <w:lang w:val="id-ID"/>
        </w:rPr>
        <w:t xml:space="preserve">le 1: </w:t>
      </w:r>
      <w:r w:rsidRPr="0049238E">
        <w:rPr>
          <w:rFonts w:ascii="Cambria Math" w:hAnsi="Cambria Math"/>
          <w:lang w:val="id-ID"/>
        </w:rPr>
        <w:t>Title</w:t>
      </w:r>
    </w:p>
    <w:tbl>
      <w:tblPr>
        <w:tblW w:w="925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31"/>
        <w:gridCol w:w="3007"/>
        <w:gridCol w:w="2406"/>
        <w:gridCol w:w="2707"/>
      </w:tblGrid>
      <w:tr w:rsidR="003F6B65" w:rsidRPr="004267AE" w14:paraId="5566868A" w14:textId="77777777" w:rsidTr="00E21F5E">
        <w:trPr>
          <w:trHeight w:val="255"/>
          <w:jc w:val="center"/>
        </w:trPr>
        <w:tc>
          <w:tcPr>
            <w:tcW w:w="1131" w:type="dxa"/>
            <w:shd w:val="clear" w:color="auto" w:fill="D9D9D9"/>
            <w:vAlign w:val="center"/>
          </w:tcPr>
          <w:p w14:paraId="74F94A52" w14:textId="77777777" w:rsidR="003F6B65" w:rsidRPr="004267AE" w:rsidRDefault="003F6B65" w:rsidP="00E21F5E">
            <w:pPr>
              <w:pStyle w:val="JRMBodyText"/>
              <w:spacing w:after="0"/>
              <w:jc w:val="left"/>
              <w:rPr>
                <w:rFonts w:ascii="Cambria Math" w:hAnsi="Cambria Math"/>
                <w:b/>
                <w:sz w:val="22"/>
                <w:szCs w:val="22"/>
                <w:lang w:val="en-GB"/>
              </w:rPr>
            </w:pPr>
            <w:r w:rsidRPr="004267AE">
              <w:rPr>
                <w:rFonts w:ascii="Cambria Math" w:hAnsi="Cambria Math"/>
                <w:b/>
                <w:sz w:val="22"/>
                <w:szCs w:val="22"/>
                <w:lang w:val="en-GB"/>
              </w:rPr>
              <w:t>No</w:t>
            </w:r>
          </w:p>
        </w:tc>
        <w:tc>
          <w:tcPr>
            <w:tcW w:w="3007" w:type="dxa"/>
            <w:shd w:val="clear" w:color="auto" w:fill="D9D9D9"/>
            <w:vAlign w:val="center"/>
          </w:tcPr>
          <w:p w14:paraId="1AA533C9" w14:textId="77777777" w:rsidR="003F6B65" w:rsidRPr="004267AE" w:rsidRDefault="003F6B65" w:rsidP="00E21F5E">
            <w:pPr>
              <w:pStyle w:val="JRMBodyText"/>
              <w:spacing w:after="0"/>
              <w:jc w:val="left"/>
              <w:rPr>
                <w:rFonts w:ascii="Cambria Math" w:hAnsi="Cambria Math"/>
                <w:b/>
                <w:sz w:val="22"/>
                <w:szCs w:val="22"/>
                <w:lang w:val="en-GB"/>
              </w:rPr>
            </w:pPr>
            <w:r>
              <w:rPr>
                <w:rFonts w:ascii="Cambria Math" w:hAnsi="Cambria Math"/>
                <w:b/>
                <w:sz w:val="22"/>
                <w:szCs w:val="22"/>
                <w:lang w:val="en-GB"/>
              </w:rPr>
              <w:t>Description</w:t>
            </w:r>
          </w:p>
        </w:tc>
        <w:tc>
          <w:tcPr>
            <w:tcW w:w="2406" w:type="dxa"/>
            <w:shd w:val="clear" w:color="auto" w:fill="D9D9D9"/>
            <w:vAlign w:val="center"/>
          </w:tcPr>
          <w:p w14:paraId="4EC07392" w14:textId="77777777" w:rsidR="003F6B65" w:rsidRPr="004267AE" w:rsidRDefault="003F6B65" w:rsidP="00E21F5E">
            <w:pPr>
              <w:pStyle w:val="JRMBodyText"/>
              <w:spacing w:after="0"/>
              <w:jc w:val="left"/>
              <w:rPr>
                <w:rFonts w:ascii="Cambria Math" w:hAnsi="Cambria Math"/>
                <w:b/>
                <w:sz w:val="22"/>
                <w:szCs w:val="22"/>
                <w:lang w:val="en-GB"/>
              </w:rPr>
            </w:pPr>
            <w:r>
              <w:rPr>
                <w:rFonts w:ascii="Cambria Math" w:hAnsi="Cambria Math"/>
                <w:b/>
                <w:sz w:val="22"/>
                <w:szCs w:val="22"/>
                <w:lang w:val="en-GB"/>
              </w:rPr>
              <w:t>2021</w:t>
            </w:r>
          </w:p>
        </w:tc>
        <w:tc>
          <w:tcPr>
            <w:tcW w:w="2707" w:type="dxa"/>
            <w:shd w:val="clear" w:color="auto" w:fill="D9D9D9"/>
            <w:vAlign w:val="center"/>
          </w:tcPr>
          <w:p w14:paraId="481E81CE" w14:textId="77777777" w:rsidR="003F6B65" w:rsidRPr="004267AE" w:rsidRDefault="003F6B65" w:rsidP="00E21F5E">
            <w:pPr>
              <w:pStyle w:val="JRMBodyText"/>
              <w:spacing w:after="0"/>
              <w:jc w:val="left"/>
              <w:rPr>
                <w:rFonts w:ascii="Cambria Math" w:hAnsi="Cambria Math"/>
                <w:b/>
                <w:sz w:val="22"/>
                <w:szCs w:val="22"/>
                <w:lang w:val="id-ID"/>
              </w:rPr>
            </w:pPr>
            <w:r w:rsidRPr="004267AE">
              <w:rPr>
                <w:rFonts w:ascii="Cambria Math" w:hAnsi="Cambria Math"/>
                <w:b/>
                <w:sz w:val="22"/>
                <w:szCs w:val="22"/>
                <w:lang w:val="en-GB"/>
              </w:rPr>
              <w:t>Etc.</w:t>
            </w:r>
            <w:r w:rsidRPr="004267AE">
              <w:rPr>
                <w:rFonts w:ascii="Cambria Math" w:hAnsi="Cambria Math"/>
                <w:b/>
                <w:sz w:val="22"/>
                <w:szCs w:val="22"/>
                <w:lang w:val="id-ID"/>
              </w:rPr>
              <w:t xml:space="preserve"> </w:t>
            </w:r>
          </w:p>
        </w:tc>
      </w:tr>
      <w:tr w:rsidR="003F6B65" w:rsidRPr="004267AE" w14:paraId="4B24C710" w14:textId="77777777" w:rsidTr="00E21F5E">
        <w:trPr>
          <w:trHeight w:val="255"/>
          <w:jc w:val="center"/>
        </w:trPr>
        <w:tc>
          <w:tcPr>
            <w:tcW w:w="1131" w:type="dxa"/>
            <w:shd w:val="clear" w:color="auto" w:fill="auto"/>
            <w:vAlign w:val="center"/>
          </w:tcPr>
          <w:p w14:paraId="594439A4" w14:textId="77777777" w:rsidR="003F6B65" w:rsidRPr="004267AE" w:rsidRDefault="003F6B65" w:rsidP="00E21F5E">
            <w:pPr>
              <w:pStyle w:val="JRMBodyText"/>
              <w:spacing w:after="0"/>
              <w:jc w:val="left"/>
              <w:rPr>
                <w:rFonts w:ascii="Cambria Math" w:hAnsi="Cambria Math"/>
                <w:sz w:val="22"/>
                <w:szCs w:val="22"/>
                <w:lang w:val="en-GB"/>
              </w:rPr>
            </w:pPr>
          </w:p>
        </w:tc>
        <w:tc>
          <w:tcPr>
            <w:tcW w:w="3007" w:type="dxa"/>
            <w:shd w:val="clear" w:color="auto" w:fill="auto"/>
            <w:vAlign w:val="center"/>
          </w:tcPr>
          <w:p w14:paraId="29643CCB" w14:textId="77777777" w:rsidR="003F6B65" w:rsidRPr="004267AE" w:rsidRDefault="003F6B65" w:rsidP="00E21F5E">
            <w:pPr>
              <w:pStyle w:val="JRMBodyText"/>
              <w:spacing w:after="0"/>
              <w:jc w:val="left"/>
              <w:rPr>
                <w:rFonts w:ascii="Cambria Math" w:hAnsi="Cambria Math"/>
                <w:sz w:val="22"/>
                <w:szCs w:val="22"/>
                <w:lang w:val="en-GB"/>
              </w:rPr>
            </w:pPr>
          </w:p>
        </w:tc>
        <w:tc>
          <w:tcPr>
            <w:tcW w:w="2406" w:type="dxa"/>
            <w:shd w:val="clear" w:color="auto" w:fill="auto"/>
            <w:vAlign w:val="center"/>
          </w:tcPr>
          <w:p w14:paraId="057D0706" w14:textId="77777777" w:rsidR="003F6B65" w:rsidRPr="004267AE" w:rsidRDefault="003F6B65" w:rsidP="00E21F5E">
            <w:pPr>
              <w:pStyle w:val="JRMBodyText"/>
              <w:spacing w:after="0"/>
              <w:jc w:val="left"/>
              <w:rPr>
                <w:rFonts w:ascii="Cambria Math" w:hAnsi="Cambria Math"/>
                <w:sz w:val="22"/>
                <w:szCs w:val="22"/>
                <w:lang w:val="en-GB"/>
              </w:rPr>
            </w:pPr>
          </w:p>
        </w:tc>
        <w:tc>
          <w:tcPr>
            <w:tcW w:w="2707" w:type="dxa"/>
            <w:shd w:val="clear" w:color="auto" w:fill="auto"/>
            <w:vAlign w:val="center"/>
          </w:tcPr>
          <w:p w14:paraId="28832B67" w14:textId="77777777" w:rsidR="003F6B65" w:rsidRPr="004267AE" w:rsidRDefault="003F6B65" w:rsidP="00E21F5E">
            <w:pPr>
              <w:pStyle w:val="JRMBodyText"/>
              <w:spacing w:after="0"/>
              <w:jc w:val="left"/>
              <w:rPr>
                <w:rFonts w:ascii="Cambria Math" w:hAnsi="Cambria Math"/>
                <w:sz w:val="22"/>
                <w:szCs w:val="22"/>
                <w:lang w:val="en-GB"/>
              </w:rPr>
            </w:pPr>
          </w:p>
        </w:tc>
      </w:tr>
      <w:tr w:rsidR="003F6B65" w:rsidRPr="004267AE" w14:paraId="5EFDAA8D" w14:textId="77777777" w:rsidTr="00E21F5E">
        <w:trPr>
          <w:trHeight w:val="244"/>
          <w:jc w:val="center"/>
        </w:trPr>
        <w:tc>
          <w:tcPr>
            <w:tcW w:w="1131" w:type="dxa"/>
            <w:shd w:val="clear" w:color="auto" w:fill="auto"/>
            <w:vAlign w:val="center"/>
          </w:tcPr>
          <w:p w14:paraId="5CF596F0" w14:textId="77777777" w:rsidR="003F6B65" w:rsidRPr="004267AE" w:rsidRDefault="003F6B65" w:rsidP="00E21F5E">
            <w:pPr>
              <w:pStyle w:val="JRMBodyText"/>
              <w:spacing w:after="0"/>
              <w:jc w:val="left"/>
              <w:rPr>
                <w:rFonts w:ascii="Cambria Math" w:hAnsi="Cambria Math"/>
                <w:sz w:val="22"/>
                <w:szCs w:val="22"/>
                <w:lang w:val="en-GB"/>
              </w:rPr>
            </w:pPr>
          </w:p>
        </w:tc>
        <w:tc>
          <w:tcPr>
            <w:tcW w:w="3007" w:type="dxa"/>
            <w:shd w:val="clear" w:color="auto" w:fill="auto"/>
            <w:vAlign w:val="center"/>
          </w:tcPr>
          <w:p w14:paraId="54AC6521" w14:textId="77777777" w:rsidR="003F6B65" w:rsidRPr="004267AE" w:rsidRDefault="003F6B65" w:rsidP="00E21F5E">
            <w:pPr>
              <w:pStyle w:val="JRMBodyText"/>
              <w:spacing w:after="0"/>
              <w:jc w:val="left"/>
              <w:rPr>
                <w:rFonts w:ascii="Cambria Math" w:hAnsi="Cambria Math"/>
                <w:sz w:val="22"/>
                <w:szCs w:val="22"/>
                <w:lang w:val="en-GB"/>
              </w:rPr>
            </w:pPr>
          </w:p>
        </w:tc>
        <w:tc>
          <w:tcPr>
            <w:tcW w:w="2406" w:type="dxa"/>
            <w:shd w:val="clear" w:color="auto" w:fill="auto"/>
            <w:vAlign w:val="center"/>
          </w:tcPr>
          <w:p w14:paraId="74B08B10" w14:textId="77777777" w:rsidR="003F6B65" w:rsidRPr="004267AE" w:rsidRDefault="003F6B65" w:rsidP="00E21F5E">
            <w:pPr>
              <w:pStyle w:val="JRMBodyText"/>
              <w:spacing w:after="0"/>
              <w:jc w:val="left"/>
              <w:rPr>
                <w:rFonts w:ascii="Cambria Math" w:hAnsi="Cambria Math"/>
                <w:sz w:val="22"/>
                <w:szCs w:val="22"/>
                <w:lang w:val="en-GB"/>
              </w:rPr>
            </w:pPr>
          </w:p>
        </w:tc>
        <w:tc>
          <w:tcPr>
            <w:tcW w:w="2707" w:type="dxa"/>
            <w:shd w:val="clear" w:color="auto" w:fill="auto"/>
            <w:vAlign w:val="center"/>
          </w:tcPr>
          <w:p w14:paraId="33D3CA1E" w14:textId="77777777" w:rsidR="003F6B65" w:rsidRPr="004267AE" w:rsidRDefault="003F6B65" w:rsidP="00E21F5E">
            <w:pPr>
              <w:pStyle w:val="JRMBodyText"/>
              <w:spacing w:after="0"/>
              <w:jc w:val="left"/>
              <w:rPr>
                <w:rFonts w:ascii="Cambria Math" w:hAnsi="Cambria Math"/>
                <w:sz w:val="22"/>
                <w:szCs w:val="22"/>
                <w:lang w:val="en-GB"/>
              </w:rPr>
            </w:pPr>
          </w:p>
        </w:tc>
      </w:tr>
      <w:tr w:rsidR="003F6B65" w:rsidRPr="004267AE" w14:paraId="76922E2F" w14:textId="77777777" w:rsidTr="00E21F5E">
        <w:trPr>
          <w:trHeight w:val="255"/>
          <w:jc w:val="center"/>
        </w:trPr>
        <w:tc>
          <w:tcPr>
            <w:tcW w:w="1131" w:type="dxa"/>
            <w:shd w:val="clear" w:color="auto" w:fill="auto"/>
            <w:vAlign w:val="center"/>
          </w:tcPr>
          <w:p w14:paraId="4484D244" w14:textId="77777777" w:rsidR="003F6B65" w:rsidRPr="004267AE" w:rsidRDefault="003F6B65" w:rsidP="00E21F5E">
            <w:pPr>
              <w:pStyle w:val="JRMBodyText"/>
              <w:spacing w:after="0"/>
              <w:jc w:val="left"/>
              <w:rPr>
                <w:rFonts w:ascii="Cambria Math" w:hAnsi="Cambria Math"/>
                <w:sz w:val="22"/>
                <w:szCs w:val="22"/>
                <w:lang w:val="en-GB"/>
              </w:rPr>
            </w:pPr>
          </w:p>
        </w:tc>
        <w:tc>
          <w:tcPr>
            <w:tcW w:w="3007" w:type="dxa"/>
            <w:shd w:val="clear" w:color="auto" w:fill="auto"/>
            <w:vAlign w:val="center"/>
          </w:tcPr>
          <w:p w14:paraId="36835BE3" w14:textId="77777777" w:rsidR="003F6B65" w:rsidRPr="004267AE" w:rsidRDefault="003F6B65" w:rsidP="00E21F5E">
            <w:pPr>
              <w:pStyle w:val="JRMBodyText"/>
              <w:spacing w:after="0"/>
              <w:jc w:val="left"/>
              <w:rPr>
                <w:rFonts w:ascii="Cambria Math" w:hAnsi="Cambria Math"/>
                <w:sz w:val="22"/>
                <w:szCs w:val="22"/>
                <w:lang w:val="en-GB"/>
              </w:rPr>
            </w:pPr>
          </w:p>
        </w:tc>
        <w:tc>
          <w:tcPr>
            <w:tcW w:w="2406" w:type="dxa"/>
            <w:shd w:val="clear" w:color="auto" w:fill="auto"/>
            <w:vAlign w:val="center"/>
          </w:tcPr>
          <w:p w14:paraId="6868DD7E" w14:textId="77777777" w:rsidR="003F6B65" w:rsidRPr="004267AE" w:rsidRDefault="003F6B65" w:rsidP="00E21F5E">
            <w:pPr>
              <w:pStyle w:val="JRMBodyText"/>
              <w:spacing w:after="0"/>
              <w:jc w:val="left"/>
              <w:rPr>
                <w:rFonts w:ascii="Cambria Math" w:hAnsi="Cambria Math"/>
                <w:sz w:val="22"/>
                <w:szCs w:val="22"/>
                <w:lang w:val="en-GB"/>
              </w:rPr>
            </w:pPr>
          </w:p>
        </w:tc>
        <w:tc>
          <w:tcPr>
            <w:tcW w:w="2707" w:type="dxa"/>
            <w:shd w:val="clear" w:color="auto" w:fill="auto"/>
            <w:vAlign w:val="center"/>
          </w:tcPr>
          <w:p w14:paraId="1A06164C" w14:textId="77777777" w:rsidR="003F6B65" w:rsidRPr="004267AE" w:rsidRDefault="003F6B65" w:rsidP="00E21F5E">
            <w:pPr>
              <w:pStyle w:val="JRMBodyText"/>
              <w:spacing w:after="0"/>
              <w:jc w:val="left"/>
              <w:rPr>
                <w:rFonts w:ascii="Cambria Math" w:hAnsi="Cambria Math"/>
                <w:sz w:val="22"/>
                <w:szCs w:val="22"/>
                <w:lang w:val="en-GB"/>
              </w:rPr>
            </w:pPr>
          </w:p>
        </w:tc>
      </w:tr>
    </w:tbl>
    <w:p w14:paraId="6102B357" w14:textId="77777777" w:rsidR="003F6B65" w:rsidRPr="004267AE" w:rsidRDefault="003F6B65" w:rsidP="003F6B65">
      <w:pPr>
        <w:pStyle w:val="BodyText3"/>
        <w:spacing w:after="0" w:line="240" w:lineRule="auto"/>
        <w:jc w:val="both"/>
        <w:rPr>
          <w:rFonts w:ascii="Cambria Math" w:hAnsi="Cambria Math" w:cs="Times New Roman"/>
          <w:i/>
          <w:sz w:val="24"/>
          <w:szCs w:val="24"/>
        </w:rPr>
      </w:pPr>
      <w:r w:rsidRPr="004267AE">
        <w:rPr>
          <w:rFonts w:ascii="Cambria Math" w:hAnsi="Cambria Math" w:cs="Times New Roman"/>
          <w:b/>
          <w:i/>
          <w:sz w:val="22"/>
          <w:szCs w:val="22"/>
        </w:rPr>
        <w:t>Source:</w:t>
      </w:r>
      <w:r w:rsidRPr="004267AE">
        <w:rPr>
          <w:rFonts w:ascii="Cambria Math" w:hAnsi="Cambria Math" w:cs="Times New Roman"/>
          <w:i/>
          <w:sz w:val="22"/>
          <w:szCs w:val="22"/>
        </w:rPr>
        <w:t xml:space="preserve"> Author, Title of the book, year of publication, page(s).; or if the data taken from the analisis then you should write as :Analysed from the primary source</w:t>
      </w:r>
      <w:r w:rsidRPr="004267AE">
        <w:rPr>
          <w:rFonts w:ascii="Cambria Math" w:hAnsi="Cambria Math" w:cs="Times New Roman"/>
          <w:i/>
          <w:sz w:val="24"/>
          <w:szCs w:val="24"/>
        </w:rPr>
        <w:t>.</w:t>
      </w:r>
    </w:p>
    <w:p w14:paraId="3FA6EA98" w14:textId="77777777" w:rsidR="003F6B65" w:rsidRDefault="003F6B65" w:rsidP="003F6B65">
      <w:pPr>
        <w:pStyle w:val="BodyText3"/>
        <w:spacing w:after="200"/>
        <w:ind w:firstLine="426"/>
        <w:jc w:val="both"/>
        <w:rPr>
          <w:rFonts w:ascii="Cambria Math" w:hAnsi="Cambria Math" w:cs="Times New Roman"/>
          <w:sz w:val="24"/>
          <w:szCs w:val="24"/>
        </w:rPr>
      </w:pPr>
      <w:r w:rsidRPr="004267AE">
        <w:rPr>
          <w:rFonts w:ascii="Cambria Math" w:hAnsi="Cambria Math" w:cs="Times New Roman"/>
          <w:sz w:val="24"/>
          <w:szCs w:val="24"/>
        </w:rPr>
        <w:t>For direct citation when it is more than four lines you need</w:t>
      </w:r>
      <w:r w:rsidRPr="004267AE">
        <w:rPr>
          <w:rStyle w:val="FootnoteReference"/>
          <w:rFonts w:ascii="Cambria Math" w:hAnsi="Cambria Math"/>
          <w:sz w:val="20"/>
          <w:szCs w:val="20"/>
          <w:lang w:eastAsia="en-GB"/>
        </w:rPr>
        <w:footnoteReference w:id="4"/>
      </w:r>
      <w:r w:rsidRPr="004267AE">
        <w:rPr>
          <w:rFonts w:ascii="Cambria Math" w:hAnsi="Cambria Math" w:cs="Times New Roman"/>
          <w:sz w:val="24"/>
          <w:szCs w:val="24"/>
        </w:rPr>
        <w:t xml:space="preserve"> to write it in 10 pt with single space:</w:t>
      </w:r>
    </w:p>
    <w:p w14:paraId="0182A8D5" w14:textId="77777777" w:rsidR="003F6B65" w:rsidRPr="00A36766" w:rsidRDefault="003F6B65" w:rsidP="003F6B65">
      <w:pPr>
        <w:pStyle w:val="NoSpacing"/>
        <w:ind w:left="567"/>
        <w:jc w:val="both"/>
        <w:rPr>
          <w:sz w:val="20"/>
          <w:szCs w:val="20"/>
        </w:rPr>
      </w:pPr>
      <w:r w:rsidRPr="00B8243B">
        <w:rPr>
          <w:sz w:val="20"/>
          <w:szCs w:val="20"/>
        </w:rPr>
        <w:t>“</w:t>
      </w:r>
      <w:r w:rsidRPr="00B8243B">
        <w:rPr>
          <w:sz w:val="20"/>
          <w:szCs w:val="20"/>
          <w:lang w:val="en-US"/>
        </w:rPr>
        <w:t>s</w:t>
      </w:r>
      <w:r w:rsidRPr="00B8243B">
        <w:rPr>
          <w:sz w:val="20"/>
          <w:szCs w:val="20"/>
        </w:rPr>
        <w:t>trict liability is to be preferred over a system of liability based on fault wherever you have an enterprise or activity, beneficial to many, which takes a more or less inevitable accident toll of human life and limb. This is true at least where the accident victims are as a class economically ill-equipped to carry the burden of serious accident losses.”</w:t>
      </w:r>
      <w:r w:rsidRPr="00B8243B">
        <w:rPr>
          <w:rStyle w:val="FootnoteReference"/>
          <w:sz w:val="20"/>
          <w:szCs w:val="20"/>
        </w:rPr>
        <w:footnoteReference w:id="5"/>
      </w:r>
    </w:p>
    <w:p w14:paraId="0C939E2B" w14:textId="77777777" w:rsidR="003F6B65" w:rsidRDefault="003F6B65" w:rsidP="003F6B65">
      <w:pPr>
        <w:pStyle w:val="BodyText3"/>
        <w:spacing w:before="240" w:after="0"/>
        <w:ind w:firstLine="426"/>
        <w:jc w:val="both"/>
        <w:rPr>
          <w:rFonts w:ascii="Cambria Math" w:hAnsi="Cambria Math" w:cs="Times New Roman"/>
          <w:sz w:val="24"/>
          <w:szCs w:val="24"/>
          <w:lang w:val="en-GB"/>
        </w:rPr>
      </w:pPr>
    </w:p>
    <w:p w14:paraId="1627803C" w14:textId="77777777" w:rsidR="003F6B65" w:rsidRPr="004267AE" w:rsidRDefault="003F6B65" w:rsidP="003F6B65">
      <w:pPr>
        <w:pStyle w:val="BodyText3"/>
        <w:spacing w:before="240" w:after="0"/>
        <w:ind w:firstLine="426"/>
        <w:jc w:val="both"/>
        <w:rPr>
          <w:rFonts w:ascii="Cambria Math" w:hAnsi="Cambria Math" w:cs="Times New Roman"/>
          <w:sz w:val="24"/>
          <w:szCs w:val="24"/>
          <w:lang w:val="en-GB"/>
        </w:rPr>
      </w:pPr>
      <w:r w:rsidRPr="004267AE">
        <w:rPr>
          <w:rFonts w:ascii="Cambria Math" w:hAnsi="Cambria Math" w:cs="Times New Roman"/>
          <w:sz w:val="24"/>
          <w:szCs w:val="24"/>
          <w:lang w:val="en-GB"/>
        </w:rPr>
        <w:t xml:space="preserve">Following main heading </w:t>
      </w:r>
      <w:r w:rsidRPr="004267AE">
        <w:rPr>
          <w:rFonts w:ascii="Cambria Math" w:hAnsi="Cambria Math" w:cs="Times New Roman"/>
          <w:sz w:val="24"/>
          <w:szCs w:val="24"/>
        </w:rPr>
        <w:t xml:space="preserve">it </w:t>
      </w:r>
      <w:r w:rsidRPr="004267AE">
        <w:rPr>
          <w:rFonts w:ascii="Cambria Math" w:hAnsi="Cambria Math" w:cs="Times New Roman"/>
          <w:sz w:val="24"/>
          <w:szCs w:val="24"/>
          <w:lang w:val="en-GB"/>
        </w:rPr>
        <w:t xml:space="preserve">should </w:t>
      </w:r>
      <w:r w:rsidRPr="004267AE">
        <w:rPr>
          <w:rFonts w:ascii="Cambria Math" w:hAnsi="Cambria Math" w:cs="Times New Roman"/>
          <w:sz w:val="24"/>
          <w:szCs w:val="24"/>
        </w:rPr>
        <w:t xml:space="preserve">be </w:t>
      </w:r>
      <w:r w:rsidRPr="004267AE">
        <w:rPr>
          <w:rFonts w:ascii="Cambria Math" w:hAnsi="Cambria Math" w:cs="Times New Roman"/>
          <w:sz w:val="24"/>
          <w:szCs w:val="24"/>
          <w:lang w:val="en-GB"/>
        </w:rPr>
        <w:t>provide</w:t>
      </w:r>
      <w:r w:rsidRPr="004267AE">
        <w:rPr>
          <w:rFonts w:ascii="Cambria Math" w:hAnsi="Cambria Math" w:cs="Times New Roman"/>
          <w:sz w:val="24"/>
          <w:szCs w:val="24"/>
        </w:rPr>
        <w:t>d</w:t>
      </w:r>
      <w:r w:rsidRPr="004267AE">
        <w:rPr>
          <w:rFonts w:ascii="Cambria Math" w:hAnsi="Cambria Math" w:cs="Times New Roman"/>
          <w:sz w:val="24"/>
          <w:szCs w:val="24"/>
          <w:lang w:val="en-GB"/>
        </w:rPr>
        <w:t xml:space="preserve"> </w:t>
      </w:r>
      <w:r w:rsidRPr="004267AE">
        <w:rPr>
          <w:rFonts w:ascii="Cambria Math" w:hAnsi="Cambria Math" w:cs="Times New Roman"/>
          <w:sz w:val="24"/>
          <w:szCs w:val="24"/>
        </w:rPr>
        <w:t xml:space="preserve">for </w:t>
      </w:r>
      <w:r w:rsidRPr="004267AE">
        <w:rPr>
          <w:rFonts w:ascii="Cambria Math" w:hAnsi="Cambria Math" w:cs="Times New Roman"/>
          <w:sz w:val="24"/>
          <w:szCs w:val="24"/>
          <w:lang w:val="en-GB"/>
        </w:rPr>
        <w:t xml:space="preserve">the manuscript. The separation between main headings, sub-headings and sub-sub headings should be numbered in the manuscript with following example: </w:t>
      </w:r>
    </w:p>
    <w:p w14:paraId="046F4E03" w14:textId="77777777" w:rsidR="003F6B65" w:rsidRPr="004267AE" w:rsidRDefault="003F6B65" w:rsidP="003F6B65">
      <w:pPr>
        <w:pStyle w:val="Heading1"/>
        <w:numPr>
          <w:ilvl w:val="0"/>
          <w:numId w:val="2"/>
        </w:numPr>
        <w:ind w:left="270" w:hanging="270"/>
        <w:rPr>
          <w:rFonts w:ascii="Cambria Math" w:hAnsi="Cambria Math"/>
          <w:lang w:val="en-GB"/>
        </w:rPr>
      </w:pPr>
      <w:r w:rsidRPr="004267AE">
        <w:rPr>
          <w:rFonts w:ascii="Cambria Math" w:hAnsi="Cambria Math"/>
          <w:lang w:val="en-GB"/>
        </w:rPr>
        <w:lastRenderedPageBreak/>
        <w:t>HEADING</w:t>
      </w:r>
    </w:p>
    <w:p w14:paraId="3D107A81" w14:textId="77777777" w:rsidR="003F6B65" w:rsidRPr="004267AE" w:rsidRDefault="003F6B65" w:rsidP="003F6B65">
      <w:pPr>
        <w:pStyle w:val="Heading2"/>
        <w:rPr>
          <w:rFonts w:ascii="Cambria Math" w:hAnsi="Cambria Math"/>
          <w:lang w:val="en-GB"/>
        </w:rPr>
      </w:pPr>
      <w:r w:rsidRPr="004267AE">
        <w:rPr>
          <w:rFonts w:ascii="Cambria Math" w:hAnsi="Cambria Math"/>
          <w:lang w:val="en-GB"/>
        </w:rPr>
        <w:t>Sub-Heading</w:t>
      </w:r>
    </w:p>
    <w:p w14:paraId="3C388BE8" w14:textId="77777777" w:rsidR="003F6B65" w:rsidRPr="004267AE" w:rsidRDefault="003F6B65" w:rsidP="003F6B65">
      <w:pPr>
        <w:pStyle w:val="Heading3"/>
        <w:rPr>
          <w:rFonts w:ascii="Cambria Math" w:hAnsi="Cambria Math"/>
          <w:lang w:val="en-GB"/>
        </w:rPr>
      </w:pPr>
      <w:r w:rsidRPr="004267AE">
        <w:rPr>
          <w:rFonts w:ascii="Cambria Math" w:hAnsi="Cambria Math"/>
          <w:lang w:val="en-GB"/>
        </w:rPr>
        <w:t>Sub-Sub Heading</w:t>
      </w:r>
    </w:p>
    <w:p w14:paraId="605C07C4" w14:textId="77777777" w:rsidR="003F6B65" w:rsidRPr="004267AE" w:rsidRDefault="003F6B65" w:rsidP="003F6B65">
      <w:pPr>
        <w:pStyle w:val="SLRevNumbering"/>
        <w:numPr>
          <w:ilvl w:val="0"/>
          <w:numId w:val="5"/>
        </w:numPr>
        <w:ind w:left="1080"/>
        <w:rPr>
          <w:rFonts w:ascii="Cambria Math" w:hAnsi="Cambria Math"/>
          <w:lang w:val="en-GB"/>
        </w:rPr>
      </w:pPr>
      <w:r w:rsidRPr="004267AE">
        <w:rPr>
          <w:rFonts w:ascii="Cambria Math" w:hAnsi="Cambria Math"/>
          <w:lang w:val="en-GB"/>
        </w:rPr>
        <w:t>Number 1</w:t>
      </w:r>
    </w:p>
    <w:p w14:paraId="45A2C4CB" w14:textId="77777777" w:rsidR="003F6B65" w:rsidRDefault="003F6B65" w:rsidP="003F6B65">
      <w:pPr>
        <w:pStyle w:val="SLRevNumbering"/>
        <w:numPr>
          <w:ilvl w:val="0"/>
          <w:numId w:val="5"/>
        </w:numPr>
        <w:ind w:left="1080"/>
        <w:rPr>
          <w:rFonts w:ascii="Cambria Math" w:hAnsi="Cambria Math"/>
          <w:lang w:val="en-GB"/>
        </w:rPr>
      </w:pPr>
      <w:r w:rsidRPr="004267AE">
        <w:rPr>
          <w:rFonts w:ascii="Cambria Math" w:hAnsi="Cambria Math"/>
          <w:lang w:val="en-GB"/>
        </w:rPr>
        <w:t>Number 2</w:t>
      </w:r>
    </w:p>
    <w:p w14:paraId="10646A61" w14:textId="77777777" w:rsidR="003F6B65" w:rsidRPr="004267AE" w:rsidRDefault="003F6B65" w:rsidP="003F6B65">
      <w:pPr>
        <w:pStyle w:val="SLRevNumbering"/>
        <w:numPr>
          <w:ilvl w:val="0"/>
          <w:numId w:val="0"/>
        </w:numPr>
        <w:ind w:left="1080"/>
        <w:rPr>
          <w:rFonts w:ascii="Cambria Math" w:hAnsi="Cambria Math"/>
          <w:lang w:val="en-GB"/>
        </w:rPr>
      </w:pPr>
    </w:p>
    <w:p w14:paraId="7751BB6A" w14:textId="77777777" w:rsidR="003F6B65" w:rsidRPr="004267AE" w:rsidRDefault="003F6B65" w:rsidP="003F6B65">
      <w:pPr>
        <w:pStyle w:val="Heading1"/>
        <w:numPr>
          <w:ilvl w:val="0"/>
          <w:numId w:val="6"/>
        </w:numPr>
        <w:ind w:left="426" w:hanging="426"/>
        <w:rPr>
          <w:rFonts w:ascii="Cambria Math" w:hAnsi="Cambria Math"/>
          <w:lang w:val="en-GB"/>
        </w:rPr>
      </w:pPr>
      <w:r w:rsidRPr="004267AE">
        <w:rPr>
          <w:rFonts w:ascii="Cambria Math" w:hAnsi="Cambria Math"/>
          <w:lang w:val="en-GB"/>
        </w:rPr>
        <w:t>CONCLUSION</w:t>
      </w:r>
    </w:p>
    <w:p w14:paraId="158FC9D8" w14:textId="77777777" w:rsidR="003F6B65" w:rsidRPr="004267AE" w:rsidRDefault="003F6B65" w:rsidP="003F6B65">
      <w:pPr>
        <w:pStyle w:val="SLRevNumbering"/>
        <w:numPr>
          <w:ilvl w:val="0"/>
          <w:numId w:val="0"/>
        </w:numPr>
        <w:rPr>
          <w:rFonts w:ascii="Cambria Math" w:hAnsi="Cambria Math"/>
          <w:lang w:val="en-GB"/>
        </w:rPr>
      </w:pPr>
      <w:r w:rsidRPr="004267AE">
        <w:rPr>
          <w:rFonts w:ascii="Cambria Math" w:hAnsi="Cambria Math"/>
          <w:lang w:val="en-GB"/>
        </w:rPr>
        <w:t xml:space="preserve">Conclusion contains a description that should answer the </w:t>
      </w:r>
      <w:r w:rsidRPr="004267AE">
        <w:rPr>
          <w:rFonts w:ascii="Cambria Math" w:hAnsi="Cambria Math"/>
          <w:lang w:val="id-ID"/>
        </w:rPr>
        <w:t xml:space="preserve">problem(s) raised and answer the </w:t>
      </w:r>
      <w:r w:rsidRPr="004267AE">
        <w:rPr>
          <w:rFonts w:ascii="Cambria Math" w:hAnsi="Cambria Math"/>
          <w:lang w:val="en-GB"/>
        </w:rPr>
        <w:t>objectives of research. Provide a clear and concise conclusion. Do not repeat the Abstract or simply describe the results of the research. Give a clear explanation regarding the possible application and/or suggestions related to the research findings.</w:t>
      </w:r>
    </w:p>
    <w:p w14:paraId="483F3285" w14:textId="77777777" w:rsidR="003F6B65" w:rsidRPr="004267AE" w:rsidRDefault="003F6B65" w:rsidP="003F6B65">
      <w:pPr>
        <w:pStyle w:val="SLRevNumbering"/>
        <w:numPr>
          <w:ilvl w:val="0"/>
          <w:numId w:val="0"/>
        </w:numPr>
        <w:rPr>
          <w:rFonts w:ascii="Cambria Math" w:hAnsi="Cambria Math"/>
          <w:lang w:val="en-GB"/>
        </w:rPr>
      </w:pPr>
    </w:p>
    <w:p w14:paraId="3B81E3FF" w14:textId="77777777" w:rsidR="003F6B65" w:rsidRDefault="003F6B65" w:rsidP="003F6B65">
      <w:pPr>
        <w:pStyle w:val="Heading1"/>
        <w:rPr>
          <w:rFonts w:ascii="Cambria Math" w:hAnsi="Cambria Math"/>
          <w:lang w:val="en-GB"/>
        </w:rPr>
      </w:pPr>
      <w:r>
        <w:rPr>
          <w:rFonts w:ascii="Cambria Math" w:hAnsi="Cambria Math"/>
          <w:lang w:val="en-GB"/>
        </w:rPr>
        <w:t>ACKNOWLEDGEMENTS (Optional)</w:t>
      </w:r>
    </w:p>
    <w:p w14:paraId="011472A6" w14:textId="77777777" w:rsidR="003F6B65" w:rsidRPr="007A2F84" w:rsidRDefault="003F6B65" w:rsidP="003F6B65">
      <w:pPr>
        <w:jc w:val="both"/>
        <w:rPr>
          <w:rFonts w:ascii="Cambria Math" w:hAnsi="Cambria Math"/>
          <w:b/>
          <w:sz w:val="24"/>
          <w:szCs w:val="24"/>
          <w:lang w:val="en-GB"/>
        </w:rPr>
      </w:pPr>
      <w:r w:rsidRPr="007A2F84">
        <w:rPr>
          <w:rFonts w:ascii="Cambria Math" w:hAnsi="Cambria Math" w:cs="Calibri Light"/>
          <w:sz w:val="24"/>
          <w:szCs w:val="24"/>
        </w:rPr>
        <w:t>Recognize those who helped in the research, especially funding supporter of your research. Include individuals who have assisted you in your study: Advisors, Financial supporters, or may other supporter i.e. Proof-readers, Typists, and Suppliers who may have given materials.</w:t>
      </w:r>
    </w:p>
    <w:p w14:paraId="087F08F3" w14:textId="77777777" w:rsidR="003F6B65" w:rsidRPr="004267AE" w:rsidRDefault="003F6B65" w:rsidP="003F6B65">
      <w:pPr>
        <w:pStyle w:val="Heading1"/>
        <w:rPr>
          <w:rFonts w:ascii="Cambria Math" w:hAnsi="Cambria Math"/>
          <w:lang w:val="en-GB"/>
        </w:rPr>
      </w:pPr>
      <w:r w:rsidRPr="004267AE">
        <w:rPr>
          <w:rFonts w:ascii="Cambria Math" w:hAnsi="Cambria Math"/>
          <w:lang w:val="en-GB"/>
        </w:rPr>
        <w:t>REFERENCES</w:t>
      </w:r>
    </w:p>
    <w:p w14:paraId="0C870010" w14:textId="77777777" w:rsidR="003F6B65" w:rsidRDefault="003F6B65" w:rsidP="003F6B65">
      <w:pPr>
        <w:pStyle w:val="ListParagraph"/>
        <w:autoSpaceDE w:val="0"/>
        <w:autoSpaceDN w:val="0"/>
        <w:adjustRightInd w:val="0"/>
        <w:spacing w:after="120"/>
        <w:ind w:left="0"/>
        <w:contextualSpacing w:val="0"/>
        <w:jc w:val="both"/>
        <w:rPr>
          <w:rFonts w:ascii="Cambria Math" w:hAnsi="Cambria Math"/>
          <w:sz w:val="24"/>
          <w:szCs w:val="24"/>
        </w:rPr>
      </w:pPr>
      <w:r w:rsidRPr="004267AE">
        <w:rPr>
          <w:rFonts w:ascii="Cambria Math" w:hAnsi="Cambria Math"/>
          <w:sz w:val="24"/>
          <w:szCs w:val="24"/>
          <w:lang w:val="en-GB"/>
        </w:rPr>
        <w:t>References at the end of the manuscript sh</w:t>
      </w:r>
      <w:r w:rsidRPr="000333E6">
        <w:rPr>
          <w:rFonts w:ascii="Cambria Math" w:hAnsi="Cambria Math"/>
          <w:sz w:val="24"/>
          <w:szCs w:val="24"/>
          <w:lang w:val="en-GB"/>
        </w:rPr>
        <w:t xml:space="preserve">ould </w:t>
      </w:r>
      <w:r w:rsidRPr="000333E6">
        <w:rPr>
          <w:rFonts w:ascii="Cambria Math" w:hAnsi="Cambria Math" w:cs="Calibri Light"/>
          <w:color w:val="000000"/>
          <w:sz w:val="24"/>
          <w:szCs w:val="24"/>
        </w:rPr>
        <w:t xml:space="preserve">uses </w:t>
      </w:r>
      <w:hyperlink r:id="rId12" w:history="1">
        <w:r w:rsidRPr="000333E6">
          <w:rPr>
            <w:rStyle w:val="Hyperlink"/>
            <w:rFonts w:ascii="Cambria Math" w:hAnsi="Cambria Math" w:cs="Calibri Light"/>
            <w:color w:val="C00000"/>
            <w:sz w:val="24"/>
            <w:szCs w:val="24"/>
          </w:rPr>
          <w:t>t</w:t>
        </w:r>
        <w:r w:rsidRPr="000333E6">
          <w:rPr>
            <w:rStyle w:val="Hyperlink"/>
            <w:rFonts w:ascii="Cambria Math" w:eastAsia="Times New Roman Bold" w:hAnsi="Cambria Math" w:cs="Calibri Light"/>
            <w:color w:val="C00000"/>
            <w:sz w:val="24"/>
            <w:szCs w:val="24"/>
          </w:rPr>
          <w:t>he Chicago Manual of Style</w:t>
        </w:r>
      </w:hyperlink>
      <w:r w:rsidRPr="000333E6">
        <w:rPr>
          <w:rStyle w:val="Heading1Char"/>
          <w:rFonts w:ascii="Cambria Math" w:hAnsi="Cambria Math" w:cs="Calibri Light"/>
          <w:color w:val="C00000"/>
          <w:szCs w:val="24"/>
        </w:rPr>
        <w:t xml:space="preserve"> </w:t>
      </w:r>
      <w:r w:rsidRPr="000333E6">
        <w:rPr>
          <w:rFonts w:ascii="Cambria Math" w:hAnsi="Cambria Math" w:cs="Calibri Light"/>
          <w:color w:val="000000"/>
          <w:sz w:val="24"/>
          <w:szCs w:val="24"/>
        </w:rPr>
        <w:t xml:space="preserve">in the </w:t>
      </w:r>
      <w:r w:rsidRPr="000333E6">
        <w:rPr>
          <w:rFonts w:ascii="Cambria Math" w:hAnsi="Cambria Math" w:cs="Calibri Light"/>
          <w:sz w:val="24"/>
          <w:szCs w:val="24"/>
        </w:rPr>
        <w:t>References</w:t>
      </w:r>
      <w:r w:rsidRPr="000333E6">
        <w:rPr>
          <w:rFonts w:ascii="Cambria Math" w:hAnsi="Cambria Math" w:cs="Calibri Light"/>
          <w:color w:val="000000"/>
          <w:sz w:val="24"/>
          <w:szCs w:val="24"/>
        </w:rPr>
        <w:t xml:space="preserve"> at the end of the manuscript. Cite only items that you have read and written on footnotes. Please use Reference Manager Applications like EndNote, Mendeley, Zotero, etc. Use other published articles in the same journal as models. All publications cited in the text should be included in the References section and arranged alphabetically.</w:t>
      </w:r>
      <w:r w:rsidRPr="000333E6">
        <w:rPr>
          <w:rFonts w:ascii="Calibri Light" w:hAnsi="Calibri Light" w:cs="Calibri Light"/>
          <w:color w:val="000000"/>
          <w:sz w:val="24"/>
          <w:szCs w:val="24"/>
        </w:rPr>
        <w:t xml:space="preserve"> </w:t>
      </w:r>
      <w:r w:rsidRPr="004267AE">
        <w:rPr>
          <w:rFonts w:ascii="Cambria Math" w:hAnsi="Cambria Math"/>
          <w:sz w:val="24"/>
          <w:szCs w:val="24"/>
        </w:rPr>
        <w:t xml:space="preserve"> For example: </w:t>
      </w:r>
    </w:p>
    <w:p w14:paraId="321A241E" w14:textId="77777777" w:rsidR="003F6B65" w:rsidRPr="004267AE" w:rsidRDefault="003F6B65" w:rsidP="003F6B65">
      <w:pPr>
        <w:widowControl w:val="0"/>
        <w:autoSpaceDE w:val="0"/>
        <w:autoSpaceDN w:val="0"/>
        <w:adjustRightInd w:val="0"/>
        <w:spacing w:after="120" w:line="240" w:lineRule="auto"/>
        <w:jc w:val="both"/>
        <w:rPr>
          <w:rFonts w:ascii="Cambria Math" w:hAnsi="Cambria Math" w:cs="Times New Roman"/>
          <w:noProof/>
          <w:sz w:val="24"/>
          <w:szCs w:val="24"/>
        </w:rPr>
      </w:pPr>
      <w:r w:rsidRPr="004267AE">
        <w:rPr>
          <w:rFonts w:ascii="Cambria Math" w:hAnsi="Cambria Math"/>
          <w:sz w:val="24"/>
          <w:szCs w:val="24"/>
          <w:lang w:val="en-GB"/>
        </w:rPr>
        <w:fldChar w:fldCharType="begin" w:fldLock="1"/>
      </w:r>
      <w:r w:rsidRPr="004267AE">
        <w:rPr>
          <w:rFonts w:ascii="Cambria Math" w:hAnsi="Cambria Math"/>
          <w:sz w:val="24"/>
          <w:szCs w:val="24"/>
          <w:lang w:val="en-GB"/>
        </w:rPr>
        <w:instrText xml:space="preserve">ADDIN Mendeley Bibliography CSL_BIBLIOGRAPHY </w:instrText>
      </w:r>
      <w:r w:rsidRPr="004267AE">
        <w:rPr>
          <w:rFonts w:ascii="Cambria Math" w:hAnsi="Cambria Math"/>
          <w:sz w:val="24"/>
          <w:szCs w:val="24"/>
          <w:lang w:val="en-GB"/>
        </w:rPr>
        <w:fldChar w:fldCharType="separate"/>
      </w:r>
    </w:p>
    <w:p w14:paraId="2FE85ADE" w14:textId="77777777" w:rsidR="003F6B65" w:rsidRDefault="003F6B65" w:rsidP="003F6B65">
      <w:pPr>
        <w:pStyle w:val="ListParagraph"/>
        <w:spacing w:before="120" w:after="0" w:line="240" w:lineRule="auto"/>
        <w:ind w:left="851" w:hanging="567"/>
        <w:contextualSpacing w:val="0"/>
        <w:jc w:val="both"/>
        <w:rPr>
          <w:rStyle w:val="Hyperlink"/>
          <w:rFonts w:ascii="Cambria Math" w:hAnsi="Cambria Math" w:cs="Calibri Light"/>
          <w:color w:val="C00000"/>
          <w:sz w:val="24"/>
          <w:szCs w:val="24"/>
        </w:rPr>
      </w:pPr>
      <w:r w:rsidRPr="002A3847">
        <w:rPr>
          <w:rFonts w:ascii="Cambria Math" w:hAnsi="Cambria Math"/>
          <w:sz w:val="24"/>
          <w:szCs w:val="24"/>
        </w:rPr>
        <w:t>James,Jr</w:t>
      </w:r>
      <w:r w:rsidRPr="002A3847">
        <w:rPr>
          <w:rFonts w:ascii="Cambria Math" w:hAnsi="Cambria Math"/>
          <w:sz w:val="24"/>
          <w:szCs w:val="24"/>
          <w:lang w:val="en-US"/>
        </w:rPr>
        <w:t xml:space="preserve">, </w:t>
      </w:r>
      <w:r w:rsidRPr="002A3847">
        <w:rPr>
          <w:rFonts w:ascii="Cambria Math" w:hAnsi="Cambria Math"/>
          <w:sz w:val="24"/>
          <w:szCs w:val="24"/>
        </w:rPr>
        <w:t xml:space="preserve">Fleming., </w:t>
      </w:r>
      <w:r w:rsidRPr="002A3847">
        <w:rPr>
          <w:rFonts w:ascii="Cambria Math" w:hAnsi="Cambria Math"/>
          <w:sz w:val="24"/>
          <w:szCs w:val="24"/>
          <w:lang w:val="en-US"/>
        </w:rPr>
        <w:t>“</w:t>
      </w:r>
      <w:r w:rsidRPr="002A3847">
        <w:rPr>
          <w:rFonts w:ascii="Cambria Math" w:hAnsi="Cambria Math"/>
          <w:sz w:val="24"/>
          <w:szCs w:val="24"/>
        </w:rPr>
        <w:t>General Products-Should Manufacturers be Liable without Negligence?</w:t>
      </w:r>
      <w:r w:rsidRPr="002A3847">
        <w:rPr>
          <w:rFonts w:ascii="Cambria Math" w:hAnsi="Cambria Math"/>
          <w:sz w:val="24"/>
          <w:szCs w:val="24"/>
          <w:lang w:val="en-US"/>
        </w:rPr>
        <w:t>”</w:t>
      </w:r>
      <w:r w:rsidRPr="002A3847">
        <w:rPr>
          <w:rFonts w:ascii="Cambria Math" w:hAnsi="Cambria Math"/>
          <w:sz w:val="24"/>
          <w:szCs w:val="24"/>
        </w:rPr>
        <w:t xml:space="preserve">, </w:t>
      </w:r>
      <w:r w:rsidRPr="002A3847">
        <w:rPr>
          <w:rFonts w:ascii="Cambria Math" w:hAnsi="Cambria Math"/>
          <w:i/>
          <w:sz w:val="24"/>
          <w:szCs w:val="24"/>
        </w:rPr>
        <w:t>Tennesse Law Review</w:t>
      </w:r>
      <w:r w:rsidRPr="002A3847">
        <w:rPr>
          <w:rFonts w:ascii="Cambria Math" w:hAnsi="Cambria Math"/>
          <w:sz w:val="24"/>
          <w:szCs w:val="24"/>
          <w:lang w:val="en-US"/>
        </w:rPr>
        <w:t xml:space="preserve"> </w:t>
      </w:r>
      <w:r w:rsidRPr="002A3847">
        <w:rPr>
          <w:rFonts w:ascii="Cambria Math" w:hAnsi="Cambria Math"/>
          <w:sz w:val="24"/>
          <w:szCs w:val="24"/>
        </w:rPr>
        <w:t>24</w:t>
      </w:r>
      <w:r w:rsidRPr="002A3847">
        <w:rPr>
          <w:rFonts w:ascii="Cambria Math" w:hAnsi="Cambria Math"/>
          <w:sz w:val="24"/>
          <w:szCs w:val="24"/>
          <w:lang w:val="en-US"/>
        </w:rPr>
        <w:t xml:space="preserve"> n</w:t>
      </w:r>
      <w:r w:rsidRPr="002A3847">
        <w:rPr>
          <w:rFonts w:ascii="Cambria Math" w:hAnsi="Cambria Math"/>
          <w:sz w:val="24"/>
          <w:szCs w:val="24"/>
        </w:rPr>
        <w:t>o. 7</w:t>
      </w:r>
      <w:r w:rsidRPr="002A3847">
        <w:rPr>
          <w:rFonts w:ascii="Cambria Math" w:hAnsi="Cambria Math"/>
          <w:sz w:val="24"/>
          <w:szCs w:val="24"/>
          <w:lang w:val="en-US"/>
        </w:rPr>
        <w:t xml:space="preserve"> (</w:t>
      </w:r>
      <w:r w:rsidRPr="002A3847">
        <w:rPr>
          <w:rFonts w:ascii="Cambria Math" w:hAnsi="Cambria Math"/>
          <w:sz w:val="24"/>
          <w:szCs w:val="24"/>
        </w:rPr>
        <w:t>1957</w:t>
      </w:r>
      <w:r w:rsidRPr="002A3847">
        <w:rPr>
          <w:rFonts w:ascii="Cambria Math" w:hAnsi="Cambria Math"/>
          <w:sz w:val="24"/>
          <w:szCs w:val="24"/>
          <w:lang w:val="en-US"/>
        </w:rPr>
        <w:t>):</w:t>
      </w:r>
      <w:r w:rsidRPr="002A3847">
        <w:rPr>
          <w:rFonts w:ascii="Cambria Math" w:hAnsi="Cambria Math"/>
          <w:sz w:val="24"/>
          <w:szCs w:val="24"/>
        </w:rPr>
        <w:t xml:space="preserve"> 923-927, </w:t>
      </w:r>
      <w:hyperlink r:id="rId13" w:history="1">
        <w:r w:rsidRPr="002A3847">
          <w:rPr>
            <w:rStyle w:val="Hyperlink"/>
            <w:rFonts w:ascii="Cambria Math" w:hAnsi="Cambria Math" w:cs="Calibri Light"/>
            <w:color w:val="C00000"/>
            <w:sz w:val="24"/>
            <w:szCs w:val="24"/>
          </w:rPr>
          <w:t>10.20956/</w:t>
        </w:r>
        <w:r w:rsidRPr="002A3847">
          <w:rPr>
            <w:rStyle w:val="Hyperlink"/>
            <w:rFonts w:ascii="Cambria Math" w:hAnsi="Cambria Math" w:cs="Calibri Light"/>
            <w:color w:val="C00000"/>
            <w:sz w:val="24"/>
            <w:szCs w:val="24"/>
            <w:lang w:val="en-US"/>
          </w:rPr>
          <w:t>xyz.123456</w:t>
        </w:r>
        <w:r w:rsidRPr="002A3847">
          <w:rPr>
            <w:rStyle w:val="Hyperlink"/>
            <w:rFonts w:ascii="Cambria Math" w:hAnsi="Cambria Math" w:cs="Calibri Light"/>
            <w:color w:val="C00000"/>
            <w:sz w:val="24"/>
            <w:szCs w:val="24"/>
          </w:rPr>
          <w:t>.</w:t>
        </w:r>
      </w:hyperlink>
    </w:p>
    <w:p w14:paraId="7FF2CF2C" w14:textId="77777777" w:rsidR="003F6B65" w:rsidRDefault="003F6B65" w:rsidP="003F6B65">
      <w:pPr>
        <w:pStyle w:val="ListParagraph"/>
        <w:spacing w:before="120" w:after="0" w:line="240" w:lineRule="auto"/>
        <w:ind w:left="851" w:hanging="567"/>
        <w:contextualSpacing w:val="0"/>
        <w:jc w:val="both"/>
        <w:rPr>
          <w:rFonts w:ascii="Cambria Math" w:hAnsi="Cambria Math"/>
          <w:sz w:val="20"/>
          <w:szCs w:val="20"/>
        </w:rPr>
      </w:pPr>
      <w:r w:rsidRPr="00956FCE">
        <w:rPr>
          <w:rFonts w:ascii="Cambria Math" w:hAnsi="Cambria Math" w:cs="Calibri Light"/>
          <w:color w:val="000000"/>
          <w:sz w:val="24"/>
          <w:szCs w:val="24"/>
        </w:rPr>
        <w:t xml:space="preserve">Menski, Werner. </w:t>
      </w:r>
      <w:r w:rsidRPr="00956FCE">
        <w:rPr>
          <w:rFonts w:ascii="Cambria Math" w:hAnsi="Cambria Math" w:cs="Calibri Light"/>
          <w:i/>
          <w:iCs/>
          <w:color w:val="000000"/>
          <w:sz w:val="24"/>
          <w:szCs w:val="24"/>
        </w:rPr>
        <w:t xml:space="preserve">Comparative Law in a Global Context, The Legal Systems of Asia and Africa. </w:t>
      </w:r>
      <w:r w:rsidRPr="00956FCE">
        <w:rPr>
          <w:rFonts w:ascii="Cambria Math" w:hAnsi="Cambria Math" w:cs="Calibri Light"/>
          <w:color w:val="000000"/>
          <w:sz w:val="24"/>
          <w:szCs w:val="24"/>
        </w:rPr>
        <w:t>Cambridge: Cambridge University Press, 2006</w:t>
      </w:r>
    </w:p>
    <w:p w14:paraId="2102CF59" w14:textId="77777777" w:rsidR="003F6B65" w:rsidRDefault="003F6B65" w:rsidP="003F6B65">
      <w:pPr>
        <w:pStyle w:val="ListParagraph"/>
        <w:spacing w:before="120" w:after="0" w:line="240" w:lineRule="auto"/>
        <w:ind w:left="851" w:hanging="567"/>
        <w:contextualSpacing w:val="0"/>
        <w:jc w:val="both"/>
        <w:rPr>
          <w:rFonts w:ascii="Cambria Math" w:hAnsi="Cambria Math"/>
          <w:kern w:val="36"/>
          <w:sz w:val="24"/>
          <w:szCs w:val="24"/>
          <w:lang w:val="en-ID" w:eastAsia="en-US"/>
        </w:rPr>
      </w:pPr>
      <w:r w:rsidRPr="00A9345F">
        <w:rPr>
          <w:rFonts w:ascii="Cambria Math" w:hAnsi="Cambria Math"/>
          <w:sz w:val="24"/>
          <w:szCs w:val="24"/>
        </w:rPr>
        <w:fldChar w:fldCharType="begin" w:fldLock="1"/>
      </w:r>
      <w:r w:rsidRPr="00A9345F">
        <w:rPr>
          <w:rFonts w:ascii="Cambria Math" w:hAnsi="Cambria Math"/>
          <w:sz w:val="24"/>
          <w:szCs w:val="24"/>
        </w:rPr>
        <w:instrText>ADDIN CSL_CITATION {"citationItems":[{"id":"ITEM-1","itemData":{"DOI":"10.28946/slrev.vol1.iss1.7.pp027-043","ISSN":"2541-5298","abstract":"Indonesia and Malaysia have a good potency for cooperation in aviation industry. It can be seen in the establishing two aviation companies namely PT. Indonesia Air Asia and Malindo which both are low-cost carrier. These aviation industries are categorized as low-cost carrier, however safety and security are absolute factors because these are rights for consumers. This article will describe further about safety and security standard; protecting the rights for consumers in connection with safety aviation in Indonesia and Malaysia from the Consumer Protection Law and the Aviation Law. As a result of the research shows that safety standard passenger for air transportation in airport covers information and safety facility in the shape of availability of the emergency safety tools (fires, accidents and natural disasters); information, area and health facility; and healthcare workers. Moreover, safety standards for passenger in an aircraft include information and safety facility in the shape of availability information and the emergency safety tools for passenger in an aircraft. The protection for consumer rights for safety flight in Indonesia as follows: aviation industry has obligation to fulfill minimum standard of safety and security; consumers must be safety from false information which raises concern; aircraft operation which endanger of the passenger; and consumer protection in operating the electronic device which endanger flight. On the other hand, the law of consumer rights in Malaysia relating to aviation are ruled under the Aviation Law as a result of the Warsaw Convention 1929. In conclusion, the verdict of consumer rights related to security aviation begins when the passenger enter to an aircraft, in the aircraft, and by the time they get off the plane.","author":[{"dropping-particle":"","family":"Yahanan","given":"Annalisa","non-dropping-particle":"","parse-names":false,"suffix":""},{"dropping-particle":"","family":"Febrian","given":"Febrian","non-dropping-particle":"","parse-names":false,"suffix":""},{"dropping-particle":"","family":"Rahim","given":"Rohani Abdul","non-dropping-particle":"","parse-names":false,"suffix":""}],"container-title":"Sriwijaya Law Review","id":"ITEM-1","issue":"1","issued":{"date-parts":[["2017"]]},"title":"The Protection of Consumer Rights for Aviation Savety and Security in Indonesia and Malaysia","type":"article-journal","volume":"1"},"uris":["http://www.mendeley.com/documents/?uuid=4d3a50c9-3d0d-4c54-b2e4-6df368209c75"]}],"mendeley":{"formattedCitation":"Annalisa Yahanan, Febrian Febrian, and Rohani Abdul Rahim, ‘The Protection of Consumer Rights for Aviation Savety and Security in Indonesia and Malaysia’, &lt;i&gt;Sriwijaya Law Review&lt;/i&gt;, 1.1 (2017) &lt;https://doi.org/10.28946/slrev.vol1.iss1.7.pp027-043&gt;.","plainTextFormattedCitation":"Annalisa Yahanan, Febrian Febrian, and Rohani Abdul Rahim, ‘The Protection of Consumer Rights for Aviation Savety and Security in Indonesia and Malaysia’, Sriwijaya Law Review, 1.1 (2017) .","previouslyFormattedCitation":"Annalisa Yahanan, Febrian Febrian, and Rohani Abdul Rahim, ‘The Protection of Consumer Rights for Aviation Savety and Security in Indonesia and Malaysia’, &lt;i&gt;Sriwijaya Law Review&lt;/i&gt;, 1.1 (2017) &lt;https://doi.org/10.28946/slrev.vol1.iss1.7.pp027-043&gt;."},"properties":{"noteIndex":3},"schema":"https://github.com/citation-style-language/schema/raw/master/csl-citation.json"}</w:instrText>
      </w:r>
      <w:r w:rsidRPr="00A9345F">
        <w:rPr>
          <w:rFonts w:ascii="Cambria Math" w:hAnsi="Cambria Math"/>
          <w:sz w:val="24"/>
          <w:szCs w:val="24"/>
        </w:rPr>
        <w:fldChar w:fldCharType="separate"/>
      </w:r>
      <w:r w:rsidRPr="00A9345F">
        <w:rPr>
          <w:rFonts w:ascii="Cambria Math" w:hAnsi="Cambria Math" w:cs="Calibri Light"/>
          <w:sz w:val="24"/>
          <w:szCs w:val="24"/>
        </w:rPr>
        <w:t xml:space="preserve"> </w:t>
      </w:r>
      <w:r w:rsidRPr="00A9345F">
        <w:rPr>
          <w:rFonts w:ascii="Cambria Math" w:hAnsi="Cambria Math" w:cs="Calibri Light"/>
          <w:sz w:val="24"/>
          <w:szCs w:val="24"/>
          <w:lang w:val="en-US"/>
        </w:rPr>
        <w:t>Reuters</w:t>
      </w:r>
      <w:r w:rsidRPr="00A9345F">
        <w:rPr>
          <w:rFonts w:ascii="Cambria Math" w:hAnsi="Cambria Math" w:cs="Calibri Light"/>
          <w:sz w:val="24"/>
          <w:szCs w:val="24"/>
        </w:rPr>
        <w:t>, “</w:t>
      </w:r>
      <w:r w:rsidRPr="00A9345F">
        <w:rPr>
          <w:rFonts w:ascii="Cambria Math" w:hAnsi="Cambria Math"/>
          <w:kern w:val="36"/>
          <w:sz w:val="24"/>
          <w:szCs w:val="24"/>
          <w:lang w:val="en-ID" w:eastAsia="en-US"/>
        </w:rPr>
        <w:t>UK agrees to end digital services tax after global tax reform", 22 Oktober 2021</w:t>
      </w:r>
      <w:r w:rsidRPr="00A9345F">
        <w:rPr>
          <w:rFonts w:ascii="Cambria Math" w:hAnsi="Cambria Math" w:cs="Calibri Light"/>
          <w:sz w:val="24"/>
          <w:szCs w:val="24"/>
        </w:rPr>
        <w:t xml:space="preserve">, </w:t>
      </w:r>
      <w:r w:rsidRPr="00A9345F">
        <w:rPr>
          <w:rFonts w:ascii="Cambria Math" w:hAnsi="Cambria Math" w:cs="Calibri Light"/>
          <w:sz w:val="24"/>
          <w:szCs w:val="24"/>
          <w:lang w:val="en-US"/>
        </w:rPr>
        <w:t>a</w:t>
      </w:r>
      <w:r w:rsidRPr="00A9345F">
        <w:rPr>
          <w:rFonts w:ascii="Cambria Math" w:hAnsi="Cambria Math" w:cs="Calibri Light"/>
          <w:sz w:val="24"/>
          <w:szCs w:val="24"/>
        </w:rPr>
        <w:t xml:space="preserve">ccessed </w:t>
      </w:r>
      <w:r w:rsidRPr="00A9345F">
        <w:rPr>
          <w:rFonts w:ascii="Cambria Math" w:hAnsi="Cambria Math" w:cs="Calibri Light"/>
          <w:sz w:val="24"/>
          <w:szCs w:val="24"/>
          <w:lang w:val="en-US"/>
        </w:rPr>
        <w:t>on October</w:t>
      </w:r>
      <w:r w:rsidRPr="00A9345F">
        <w:rPr>
          <w:rFonts w:ascii="Cambria Math" w:hAnsi="Cambria Math" w:cs="Calibri Light"/>
          <w:sz w:val="24"/>
          <w:szCs w:val="24"/>
        </w:rPr>
        <w:t xml:space="preserve"> 13, 20</w:t>
      </w:r>
      <w:r w:rsidRPr="00A9345F">
        <w:rPr>
          <w:rFonts w:ascii="Cambria Math" w:hAnsi="Cambria Math" w:cs="Calibri Light"/>
          <w:sz w:val="24"/>
          <w:szCs w:val="24"/>
          <w:lang w:val="en-US"/>
        </w:rPr>
        <w:t>21</w:t>
      </w:r>
      <w:r w:rsidRPr="00A9345F">
        <w:rPr>
          <w:rFonts w:ascii="Cambria Math" w:hAnsi="Cambria Math" w:cs="Calibri Light"/>
          <w:sz w:val="24"/>
          <w:szCs w:val="24"/>
        </w:rPr>
        <w:t xml:space="preserve">, </w:t>
      </w:r>
      <w:r w:rsidRPr="00A9345F">
        <w:rPr>
          <w:rFonts w:ascii="Cambria Math" w:hAnsi="Cambria Math"/>
          <w:sz w:val="24"/>
          <w:szCs w:val="24"/>
        </w:rPr>
        <w:fldChar w:fldCharType="end"/>
      </w:r>
      <w:r w:rsidRPr="00A9345F">
        <w:rPr>
          <w:rFonts w:ascii="Cambria Math" w:hAnsi="Cambria Math"/>
          <w:sz w:val="24"/>
          <w:szCs w:val="24"/>
        </w:rPr>
        <w:t xml:space="preserve"> </w:t>
      </w:r>
      <w:hyperlink r:id="rId14" w:history="1">
        <w:r w:rsidRPr="00A9345F">
          <w:rPr>
            <w:rStyle w:val="Hyperlink"/>
            <w:rFonts w:ascii="Cambria Math" w:hAnsi="Cambria Math"/>
            <w:bCs/>
            <w:color w:val="000000"/>
            <w:kern w:val="36"/>
            <w:sz w:val="24"/>
            <w:szCs w:val="24"/>
            <w:lang w:val="en-ID" w:eastAsia="en-US"/>
          </w:rPr>
          <w:t>https://www.reuters.com/technology/uk-agrees-end-digital-services-tax-after-global-tax-reform-2021-10-21/</w:t>
        </w:r>
      </w:hyperlink>
      <w:r w:rsidRPr="00A9345F">
        <w:rPr>
          <w:rFonts w:ascii="Cambria Math" w:hAnsi="Cambria Math"/>
          <w:kern w:val="36"/>
          <w:sz w:val="24"/>
          <w:szCs w:val="24"/>
          <w:lang w:val="en-ID" w:eastAsia="en-US"/>
        </w:rPr>
        <w:t>.</w:t>
      </w:r>
    </w:p>
    <w:p w14:paraId="03D94B0C" w14:textId="77777777" w:rsidR="003F6B65" w:rsidRPr="00D52D98" w:rsidRDefault="003F6B65" w:rsidP="003F6B65">
      <w:pPr>
        <w:pStyle w:val="ListParagraph"/>
        <w:spacing w:before="120" w:after="0" w:line="240" w:lineRule="auto"/>
        <w:ind w:left="851" w:hanging="567"/>
        <w:contextualSpacing w:val="0"/>
        <w:jc w:val="both"/>
        <w:rPr>
          <w:rFonts w:ascii="Cambria Math" w:hAnsi="Cambria Math" w:cs="Calibri Light"/>
          <w:color w:val="C00000"/>
          <w:sz w:val="24"/>
          <w:szCs w:val="24"/>
        </w:rPr>
      </w:pPr>
      <w:r w:rsidRPr="00D52D98">
        <w:rPr>
          <w:rFonts w:ascii="Cambria Math" w:hAnsi="Cambria Math"/>
          <w:sz w:val="24"/>
          <w:szCs w:val="24"/>
        </w:rPr>
        <w:fldChar w:fldCharType="begin" w:fldLock="1"/>
      </w:r>
      <w:r w:rsidRPr="00D52D98">
        <w:rPr>
          <w:rFonts w:ascii="Cambria Math" w:hAnsi="Cambria Math"/>
          <w:sz w:val="24"/>
          <w:szCs w:val="24"/>
        </w:rPr>
        <w:instrText>ADDIN CSL_CITATION {"citationItems":[{"id":"ITEM-1","itemData":{"abstract":"Dalam Undang-undang ini yang dimaksud dengan : 1. Hak Asasi Manusia adalah seperangkat hak yang melekat pada hakikat dan keberadaan manusia sebagai mahkluk Tuhan Yang Maha Esa dan merupakan anugerah-Nya yang wajib dihormati, dijunjung tinggi dan dilindungi oleh negara, hukum, Pemerintah, dan setiap orang demi kehormatan serta perlindungan harkat dan martabat manusia; 2. Kewajiban dasar manusia adalah seperangkat kewajiban yang apabila tidak dilaksanakan, tidak memungkinkan terlaksana dan tegaknya hak asasi manusia. 3. Diskriminasi adalah setiap pembatasan, pelecehan, atau pengucilan yang langsung ataupun tak langsung didasarkan pada pembedaan manusia atas dasar agama, suku, ras, etnik, kelompok, golongan, status sosial, status ekonomi, jenis kelamin, bahasa, keyakinan politik, yang berakibat pengurangan, penyimpangan atau penghapusan pengakuan, pelaksanaan atau penggunaan hak asasi manusia dan kebebasan dasar dalam kehidupan baik individual maupun kolektif dalam bidang politik, ekonomi, hukum, sosial, budaya, dan aspek kehidupan lainnya. 4. Penyiksaan adalah setiap perbuatan yang dilakukan dengan sengaja, sehingga menimbulkan rasa sakit atau penderitaan yang hebat, baik jasmasi maupun rohani, pada seseorang untuk memperoleh pengakuan atau keterangan dari seseorang atau dari orang ketiga, dengan menghukumnya atas suatu perbuatan yang telah dilakukan atau diduga telah dilakukan oleh seseorang atau orang ketiga, atau untuk suatu alasan yang didasarkan pada setiap bentuk diskriminasi, apabila rasa sakit atau penderitaan tersebut ditimbulkan oleh, atas hasutan dari, dengan persetujuan, atau sepengetahuan siapapun dan atau pejabat publik. 5. Anak adalah setiap manusia yang berusia di bawah 18 (delapan belas) tahun dan belum menikah, termasuk anak yang masih dalam kandungan apabila hal tersebut adalah demi kepentingannya.","id":"ITEM-1","issued":{"date-parts":[["1999"]]},"title":"The Law Number 39 of 1999 on Human Rights","type":"legislation"},"uris":["http://www.mendeley.com/documents/?uuid=321bbebe-0f63-4461-9f5e-ffb0f22db607"]}],"mendeley":{"formattedCitation":"&lt;i&gt;The Law Number 39 of 1999 on Human Rights&lt;/i&gt;, 1999.","plainTextFormattedCitation":"The Law Number 39 of 1999 on Human Rights, 1999.","previouslyFormattedCitation":"&lt;i&gt;The Law Number 39 of 1999 on Human Rights&lt;/i&gt;, 1999."},"properties":{"noteIndex":7},"schema":"https://github.com/citation-style-language/schema/raw/master/csl-citation.json"}</w:instrText>
      </w:r>
      <w:r w:rsidRPr="00D52D98">
        <w:rPr>
          <w:rFonts w:ascii="Cambria Math" w:hAnsi="Cambria Math"/>
          <w:sz w:val="24"/>
          <w:szCs w:val="24"/>
        </w:rPr>
        <w:fldChar w:fldCharType="separate"/>
      </w:r>
      <w:r w:rsidRPr="00D52D98">
        <w:rPr>
          <w:rFonts w:ascii="Cambria Math" w:hAnsi="Cambria Math"/>
          <w:noProof/>
          <w:sz w:val="24"/>
          <w:szCs w:val="24"/>
        </w:rPr>
        <w:t xml:space="preserve">The Law Number </w:t>
      </w:r>
      <w:r w:rsidRPr="00D52D98">
        <w:rPr>
          <w:rFonts w:ascii="Cambria Math" w:hAnsi="Cambria Math"/>
          <w:noProof/>
          <w:sz w:val="24"/>
          <w:szCs w:val="24"/>
          <w:lang w:val="en-US"/>
        </w:rPr>
        <w:t>7</w:t>
      </w:r>
      <w:r w:rsidRPr="00D52D98">
        <w:rPr>
          <w:rFonts w:ascii="Cambria Math" w:hAnsi="Cambria Math"/>
          <w:noProof/>
          <w:sz w:val="24"/>
          <w:szCs w:val="24"/>
        </w:rPr>
        <w:t xml:space="preserve">of </w:t>
      </w:r>
      <w:r w:rsidRPr="00D52D98">
        <w:rPr>
          <w:rFonts w:ascii="Cambria Math" w:hAnsi="Cambria Math"/>
          <w:noProof/>
          <w:sz w:val="24"/>
          <w:szCs w:val="24"/>
          <w:lang w:val="en-US"/>
        </w:rPr>
        <w:t>2021</w:t>
      </w:r>
      <w:r w:rsidRPr="00D52D98">
        <w:rPr>
          <w:rFonts w:ascii="Cambria Math" w:hAnsi="Cambria Math"/>
          <w:noProof/>
          <w:sz w:val="24"/>
          <w:szCs w:val="24"/>
        </w:rPr>
        <w:t xml:space="preserve"> </w:t>
      </w:r>
      <w:r w:rsidRPr="00D52D98">
        <w:rPr>
          <w:rFonts w:ascii="Cambria Math" w:hAnsi="Cambria Math"/>
          <w:noProof/>
          <w:sz w:val="24"/>
          <w:szCs w:val="24"/>
          <w:lang w:val="en-US"/>
        </w:rPr>
        <w:t>regarding</w:t>
      </w:r>
      <w:r w:rsidRPr="00D52D98">
        <w:rPr>
          <w:rFonts w:ascii="Cambria Math" w:hAnsi="Cambria Math"/>
          <w:noProof/>
          <w:sz w:val="24"/>
          <w:szCs w:val="24"/>
        </w:rPr>
        <w:t xml:space="preserve"> </w:t>
      </w:r>
      <w:r w:rsidRPr="00D52D98">
        <w:rPr>
          <w:rFonts w:ascii="Cambria Math" w:hAnsi="Cambria Math"/>
          <w:noProof/>
          <w:sz w:val="24"/>
          <w:szCs w:val="24"/>
          <w:lang w:val="en-US"/>
        </w:rPr>
        <w:t>Harmonization of Taxation</w:t>
      </w:r>
      <w:r w:rsidRPr="00D52D98">
        <w:rPr>
          <w:rFonts w:ascii="Cambria Math" w:hAnsi="Cambria Math"/>
          <w:noProof/>
          <w:sz w:val="24"/>
          <w:szCs w:val="24"/>
        </w:rPr>
        <w:t xml:space="preserve">, </w:t>
      </w:r>
      <w:r w:rsidRPr="00D52D98">
        <w:rPr>
          <w:rFonts w:ascii="Cambria Math" w:hAnsi="Cambria Math"/>
          <w:noProof/>
          <w:sz w:val="24"/>
          <w:szCs w:val="24"/>
          <w:lang w:val="en-US"/>
        </w:rPr>
        <w:t>2021</w:t>
      </w:r>
      <w:r w:rsidRPr="00D52D98">
        <w:rPr>
          <w:rFonts w:ascii="Cambria Math" w:hAnsi="Cambria Math"/>
          <w:noProof/>
          <w:sz w:val="24"/>
          <w:szCs w:val="24"/>
        </w:rPr>
        <w:t>.</w:t>
      </w:r>
      <w:r w:rsidRPr="00D52D98">
        <w:rPr>
          <w:rFonts w:ascii="Cambria Math" w:hAnsi="Cambria Math"/>
          <w:sz w:val="24"/>
          <w:szCs w:val="24"/>
        </w:rPr>
        <w:fldChar w:fldCharType="end"/>
      </w:r>
    </w:p>
    <w:p w14:paraId="4220CA4D" w14:textId="77777777" w:rsidR="003F6B65" w:rsidRPr="00956FCE" w:rsidRDefault="003F6B65" w:rsidP="003F6B65">
      <w:pPr>
        <w:pStyle w:val="ListParagraph"/>
        <w:spacing w:before="120" w:after="0" w:line="240" w:lineRule="auto"/>
        <w:ind w:left="851" w:hanging="567"/>
        <w:contextualSpacing w:val="0"/>
        <w:jc w:val="both"/>
        <w:rPr>
          <w:rFonts w:ascii="Cambria Math" w:hAnsi="Cambria Math" w:cs="Calibri Light"/>
          <w:color w:val="000000"/>
          <w:sz w:val="24"/>
          <w:szCs w:val="24"/>
        </w:rPr>
      </w:pPr>
    </w:p>
    <w:p w14:paraId="7EFDB5A0" w14:textId="77777777" w:rsidR="003F6B65" w:rsidRPr="00956FCE" w:rsidRDefault="003F6B65" w:rsidP="003F6B65">
      <w:pPr>
        <w:pStyle w:val="ListParagraph"/>
        <w:spacing w:before="120" w:after="0" w:line="240" w:lineRule="auto"/>
        <w:ind w:left="851" w:hanging="567"/>
        <w:contextualSpacing w:val="0"/>
        <w:jc w:val="both"/>
        <w:rPr>
          <w:rFonts w:ascii="Calibri Light" w:hAnsi="Calibri Light" w:cs="Calibri Light"/>
          <w:color w:val="000000"/>
        </w:rPr>
      </w:pPr>
    </w:p>
    <w:p w14:paraId="662DAA2B" w14:textId="77777777" w:rsidR="003F6B65" w:rsidRPr="000A7693" w:rsidRDefault="003F6B65" w:rsidP="003F6B65">
      <w:pPr>
        <w:pStyle w:val="ListParagraph"/>
        <w:autoSpaceDE w:val="0"/>
        <w:autoSpaceDN w:val="0"/>
        <w:adjustRightInd w:val="0"/>
        <w:spacing w:after="120"/>
        <w:ind w:left="0"/>
        <w:contextualSpacing w:val="0"/>
        <w:jc w:val="both"/>
        <w:rPr>
          <w:rFonts w:ascii="Times New Roman" w:hAnsi="Times New Roman"/>
          <w:sz w:val="24"/>
          <w:szCs w:val="24"/>
          <w:lang w:val="en-GB"/>
        </w:rPr>
        <w:sectPr w:rsidR="003F6B65" w:rsidRPr="000A7693" w:rsidSect="005B4AE6">
          <w:type w:val="continuous"/>
          <w:pgSz w:w="11907" w:h="16840" w:code="9"/>
          <w:pgMar w:top="1440" w:right="1275" w:bottom="1701" w:left="1418" w:header="720" w:footer="720" w:gutter="0"/>
          <w:cols w:space="567"/>
          <w:docGrid w:linePitch="360"/>
        </w:sectPr>
      </w:pPr>
      <w:r w:rsidRPr="004267AE">
        <w:rPr>
          <w:rFonts w:ascii="Cambria Math" w:hAnsi="Cambria Math"/>
          <w:sz w:val="24"/>
          <w:szCs w:val="24"/>
          <w:lang w:val="en-GB"/>
        </w:rPr>
        <w:fldChar w:fldCharType="end"/>
      </w:r>
    </w:p>
    <w:p w14:paraId="00E614F5" w14:textId="77777777" w:rsidR="003F6B65" w:rsidRPr="00EA6212" w:rsidRDefault="003F6B65" w:rsidP="003F6B65">
      <w:pPr>
        <w:spacing w:after="0"/>
        <w:jc w:val="both"/>
        <w:rPr>
          <w:rFonts w:ascii="Times New Roman" w:hAnsi="Times New Roman" w:cs="Times New Roman"/>
          <w:sz w:val="24"/>
          <w:szCs w:val="24"/>
        </w:rPr>
      </w:pPr>
    </w:p>
    <w:p w14:paraId="15BEAC9C" w14:textId="77777777" w:rsidR="00131881" w:rsidRDefault="00131881"/>
    <w:sectPr w:rsidR="00131881" w:rsidSect="00D042E2">
      <w:type w:val="continuous"/>
      <w:pgSz w:w="11907" w:h="16840" w:code="9"/>
      <w:pgMar w:top="1701" w:right="1275" w:bottom="1701"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E432" w14:textId="77777777" w:rsidR="00A7624D" w:rsidRDefault="00A7624D" w:rsidP="003F6B65">
      <w:pPr>
        <w:spacing w:after="0" w:line="240" w:lineRule="auto"/>
      </w:pPr>
      <w:r>
        <w:separator/>
      </w:r>
    </w:p>
  </w:endnote>
  <w:endnote w:type="continuationSeparator" w:id="0">
    <w:p w14:paraId="49530591" w14:textId="77777777" w:rsidR="00A7624D" w:rsidRDefault="00A7624D" w:rsidP="003F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99B7" w14:textId="77777777" w:rsidR="003F6B65" w:rsidRPr="00B76C11" w:rsidRDefault="003F6B65" w:rsidP="00B76C11">
    <w:pPr>
      <w:pStyle w:val="Footer"/>
      <w:ind w:left="0" w:firstLine="0"/>
      <w:jc w:val="center"/>
      <w:rPr>
        <w:rFonts w:ascii="Times New Roman" w:hAnsi="Times New Roman"/>
        <w:noProof/>
        <w:sz w:val="16"/>
        <w:szCs w:val="18"/>
      </w:rPr>
    </w:pPr>
    <w:r>
      <w:rPr>
        <w:rFonts w:ascii="Times New Roman" w:hAnsi="Times New Roman"/>
        <w:noProof/>
        <w:sz w:val="16"/>
        <w:szCs w:val="18"/>
        <w:lang w:val="en-US"/>
      </w:rPr>
      <w:t xml:space="preserve">Scientia Business Law Review </w:t>
    </w:r>
    <w:r w:rsidRPr="008F3C30">
      <w:rPr>
        <w:rFonts w:ascii="Times New Roman" w:hAnsi="Times New Roman"/>
        <w:noProof/>
        <w:sz w:val="16"/>
        <w:szCs w:val="18"/>
      </w:rPr>
      <w:t>Vol</w:t>
    </w:r>
    <w:r>
      <w:rPr>
        <w:rFonts w:ascii="Times New Roman" w:hAnsi="Times New Roman"/>
        <w:noProof/>
        <w:sz w:val="16"/>
        <w:szCs w:val="18"/>
        <w:lang w:val="en-US"/>
      </w:rPr>
      <w:t>. 1, No. 1,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AC96" w14:textId="7F2CABDF" w:rsidR="003F6B65" w:rsidRPr="00A92A75" w:rsidRDefault="003F6B65" w:rsidP="00752789">
    <w:pPr>
      <w:pStyle w:val="Footer"/>
      <w:tabs>
        <w:tab w:val="clear" w:pos="9360"/>
        <w:tab w:val="right" w:pos="8505"/>
      </w:tabs>
      <w:ind w:left="0" w:firstLine="0"/>
      <w:rPr>
        <w:rFonts w:ascii="Times New Roman" w:hAnsi="Times New Roman"/>
        <w:lang w:val="en-US"/>
      </w:rPr>
    </w:pPr>
    <w:r w:rsidRPr="007740F6">
      <w:rPr>
        <w:rFonts w:ascii="Times New Roman" w:hAnsi="Times New Roman"/>
        <w:noProof/>
        <w:sz w:val="16"/>
        <w:szCs w:val="18"/>
      </w:rPr>
      <w:fldChar w:fldCharType="begin"/>
    </w:r>
    <w:r w:rsidRPr="007740F6">
      <w:rPr>
        <w:rFonts w:ascii="Times New Roman" w:hAnsi="Times New Roman"/>
        <w:noProof/>
        <w:sz w:val="16"/>
        <w:szCs w:val="18"/>
      </w:rPr>
      <w:instrText xml:space="preserve"> PAGE   \* MERGEFORMAT </w:instrText>
    </w:r>
    <w:r w:rsidRPr="007740F6">
      <w:rPr>
        <w:rFonts w:ascii="Times New Roman" w:hAnsi="Times New Roman"/>
        <w:noProof/>
        <w:sz w:val="16"/>
        <w:szCs w:val="18"/>
      </w:rPr>
      <w:fldChar w:fldCharType="separate"/>
    </w:r>
    <w:r>
      <w:rPr>
        <w:rFonts w:ascii="Times New Roman" w:hAnsi="Times New Roman"/>
        <w:noProof/>
        <w:sz w:val="16"/>
        <w:szCs w:val="18"/>
      </w:rPr>
      <w:t>2</w:t>
    </w:r>
    <w:r w:rsidRPr="007740F6">
      <w:rPr>
        <w:rFonts w:ascii="Times New Roman" w:hAnsi="Times New Roman"/>
        <w:noProof/>
        <w:sz w:val="16"/>
        <w:szCs w:val="18"/>
      </w:rPr>
      <w:fldChar w:fldCharType="end"/>
    </w:r>
    <w:r>
      <w:rPr>
        <w:rFonts w:ascii="Times New Roman" w:hAnsi="Times New Roman"/>
        <w:noProof/>
        <w:sz w:val="16"/>
        <w:szCs w:val="18"/>
      </w:rPr>
      <w:tab/>
    </w:r>
    <w:r>
      <w:rPr>
        <w:rFonts w:ascii="Times New Roman" w:hAnsi="Times New Roman"/>
        <w:noProof/>
        <w:sz w:val="16"/>
        <w:szCs w:val="18"/>
        <w:lang w:val="en-US"/>
      </w:rPr>
      <w:t>Scienti</w:t>
    </w:r>
    <w:r w:rsidR="00B41C61">
      <w:rPr>
        <w:rFonts w:ascii="Times New Roman" w:hAnsi="Times New Roman"/>
        <w:noProof/>
        <w:sz w:val="16"/>
        <w:szCs w:val="18"/>
        <w:lang w:val="en-US"/>
      </w:rPr>
      <w:t>um</w:t>
    </w:r>
    <w:r>
      <w:rPr>
        <w:rFonts w:ascii="Times New Roman" w:hAnsi="Times New Roman"/>
        <w:noProof/>
        <w:sz w:val="16"/>
        <w:szCs w:val="18"/>
        <w:lang w:val="en-US"/>
      </w:rPr>
      <w:t xml:space="preserve"> </w:t>
    </w:r>
    <w:r w:rsidR="00B41C61">
      <w:rPr>
        <w:rFonts w:ascii="Times New Roman" w:hAnsi="Times New Roman"/>
        <w:noProof/>
        <w:sz w:val="16"/>
        <w:szCs w:val="18"/>
        <w:lang w:val="en-US"/>
      </w:rPr>
      <w:t>Educational</w:t>
    </w:r>
    <w:r>
      <w:rPr>
        <w:rFonts w:ascii="Times New Roman" w:hAnsi="Times New Roman"/>
        <w:noProof/>
        <w:sz w:val="16"/>
        <w:szCs w:val="18"/>
        <w:lang w:val="en-US"/>
      </w:rPr>
      <w:t xml:space="preserve"> Review </w:t>
    </w:r>
    <w:r w:rsidRPr="008F3C30">
      <w:rPr>
        <w:rFonts w:ascii="Times New Roman" w:hAnsi="Times New Roman"/>
        <w:noProof/>
        <w:sz w:val="16"/>
        <w:szCs w:val="18"/>
      </w:rPr>
      <w:t>Vol</w:t>
    </w:r>
    <w:r>
      <w:rPr>
        <w:rFonts w:ascii="Times New Roman" w:hAnsi="Times New Roman"/>
        <w:noProof/>
        <w:sz w:val="16"/>
        <w:szCs w:val="18"/>
        <w:lang w:val="en-US"/>
      </w:rPr>
      <w:t>. 1, No.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A20A" w14:textId="77777777" w:rsidR="00A7624D" w:rsidRDefault="00A7624D" w:rsidP="003F6B65">
      <w:pPr>
        <w:spacing w:after="0" w:line="240" w:lineRule="auto"/>
      </w:pPr>
      <w:r>
        <w:separator/>
      </w:r>
    </w:p>
  </w:footnote>
  <w:footnote w:type="continuationSeparator" w:id="0">
    <w:p w14:paraId="41B6E074" w14:textId="77777777" w:rsidR="00A7624D" w:rsidRDefault="00A7624D" w:rsidP="003F6B65">
      <w:pPr>
        <w:spacing w:after="0" w:line="240" w:lineRule="auto"/>
      </w:pPr>
      <w:r>
        <w:continuationSeparator/>
      </w:r>
    </w:p>
  </w:footnote>
  <w:footnote w:id="1">
    <w:p w14:paraId="299BB0E3" w14:textId="77777777" w:rsidR="003F6B65" w:rsidRPr="00956FCE" w:rsidRDefault="003F6B65" w:rsidP="003F6B65">
      <w:pPr>
        <w:pStyle w:val="ListParagraph"/>
        <w:tabs>
          <w:tab w:val="left" w:pos="426"/>
        </w:tabs>
        <w:spacing w:after="0" w:line="240" w:lineRule="auto"/>
        <w:ind w:left="0" w:right="88" w:firstLine="284"/>
        <w:jc w:val="both"/>
        <w:rPr>
          <w:rFonts w:ascii="Cambria Math" w:hAnsi="Cambria Math" w:cs="Calibri Light"/>
          <w:sz w:val="20"/>
          <w:szCs w:val="20"/>
        </w:rPr>
      </w:pPr>
      <w:r w:rsidRPr="00956FCE">
        <w:rPr>
          <w:rStyle w:val="FootnoteReference"/>
          <w:rFonts w:ascii="Cambria Math" w:hAnsi="Cambria Math"/>
          <w:sz w:val="20"/>
          <w:szCs w:val="20"/>
        </w:rPr>
        <w:footnoteRef/>
      </w:r>
      <w:r w:rsidRPr="00956FCE">
        <w:rPr>
          <w:rFonts w:ascii="Cambria Math" w:hAnsi="Cambria Math"/>
          <w:sz w:val="20"/>
          <w:szCs w:val="20"/>
        </w:rPr>
        <w:t xml:space="preserve"> </w:t>
      </w:r>
      <w:r w:rsidRPr="00956FCE">
        <w:rPr>
          <w:rFonts w:ascii="Cambria Math" w:hAnsi="Cambria Math"/>
          <w:sz w:val="20"/>
          <w:szCs w:val="20"/>
        </w:rPr>
        <w:tab/>
      </w:r>
      <w:r w:rsidRPr="00956FCE">
        <w:rPr>
          <w:rFonts w:ascii="Cambria Math" w:hAnsi="Cambria Math"/>
          <w:sz w:val="20"/>
          <w:szCs w:val="20"/>
        </w:rPr>
        <w:fldChar w:fldCharType="begin" w:fldLock="1"/>
      </w:r>
      <w:r w:rsidRPr="00956FCE">
        <w:rPr>
          <w:rFonts w:ascii="Cambria Math" w:hAnsi="Cambria Math"/>
          <w:sz w:val="20"/>
          <w:szCs w:val="20"/>
        </w:rPr>
        <w:instrText>ADDIN CSL_CITATION {"citationItems":[{"id":"ITEM-1","itemData":{"DOI":"10.1093/hrlr/ngl009","ISSN":"14617781","abstract":"Since its inception, the United Nations has adopted two General Assembly resolutions dealing with the rights of victims: the 1985 Declaration of Basic Principles of Justice for Victims of Crime and Abuse of Power and the 2006 Basic Principles and Guidelines on the Right to a Remedy and Reparation for Victims of Gross Violations of International Human Rights Law and Serious Violations of International Humanitarian Law. The focus of the former was on victims of domestic crimes, while that of the latter is on victims of international crimes; more particularly, gross violations of international human rights law and serious violations of international humanitarian law. The 2006 Principles are, for all practical purposes, an international bill of rights of victims. Their adoption has been hard-fought, but their implementation both at the national and international levels is sure to still face many obstacles. Parallel to this historic development have been decisions by the European Court of Human Rights and the Inter-American Court of Human Rights, as well as provisions in the statute of the International Criminal Court (ICC), giving standing to victims in ICC proceedings, but also certain rights of compensation. These parallel developments, as well as others within domestic legal systems, evidence a wide movement towards the recognition of the rights of victims of crime, whether domestic or international, or gross violations of human rights. This article re-traces the historic origin of victims' rights in domestic and international legal systems, focusing particularly on the adoption of the two international instruments mentioned above, and more particularly on the negotiating history of the 2006 Principles. A detailed commentary of these Principles constitutes the centerpiece of this article.","author":[{"dropping-particle":"","family":"Bassiouni","given":"M. Cherif","non-dropping-particle":"","parse-names":false,"suffix":""}],"container-title":"Human Rights Law Review","id":"ITEM-1","issue":"203-279","issued":{"date-parts":[["2006"]]},"title":"International recognition of victims' rights","type":"article-journal","volume":"6"},"uris":["http://www.mendeley.com/documents/?uuid=8bed9cef-af9c-4fb6-bda2-d4816fecdc9e"]}],"mendeley":{"formattedCitation":"M. Cherif Bassiouni, ‘International Recognition of Victims’ Rights’, &lt;i&gt;Human Rights Law Review&lt;/i&gt;, 6.203–279 (2006) &lt;https://doi.org/10.1093/hrlr/ngl009&gt;.","plainTextFormattedCitation":"M. Cherif Bassiouni, ‘International Recognition of Victims’ Rights’, Human Rights Law Review, 6.203–279 (2006) ."},"properties":{"noteIndex":1},"schema":"https://github.com/citation-style-language/schema/raw/master/csl-citation.json"}</w:instrText>
      </w:r>
      <w:r w:rsidRPr="00956FCE">
        <w:rPr>
          <w:rFonts w:ascii="Cambria Math" w:hAnsi="Cambria Math"/>
          <w:sz w:val="20"/>
          <w:szCs w:val="20"/>
        </w:rPr>
        <w:fldChar w:fldCharType="separate"/>
      </w:r>
      <w:r w:rsidRPr="00A96148">
        <w:rPr>
          <w:rFonts w:ascii="Cambria Math" w:hAnsi="Cambria Math" w:cs="Calibri Light"/>
          <w:color w:val="000000"/>
          <w:sz w:val="20"/>
          <w:szCs w:val="20"/>
        </w:rPr>
        <w:t xml:space="preserve"> </w:t>
      </w:r>
      <w:r w:rsidRPr="00956FCE">
        <w:rPr>
          <w:rFonts w:ascii="Cambria Math" w:hAnsi="Cambria Math" w:cs="Calibri Light"/>
          <w:color w:val="000000"/>
          <w:sz w:val="20"/>
          <w:szCs w:val="20"/>
        </w:rPr>
        <w:t xml:space="preserve">Werner Menski, </w:t>
      </w:r>
      <w:r w:rsidRPr="00956FCE">
        <w:rPr>
          <w:rFonts w:ascii="Cambria Math" w:hAnsi="Cambria Math" w:cs="Calibri Light"/>
          <w:i/>
          <w:iCs/>
          <w:color w:val="000000"/>
          <w:sz w:val="20"/>
          <w:szCs w:val="20"/>
        </w:rPr>
        <w:t xml:space="preserve">Comparative Law in a Global Context, The Legal Systems of Asia and Africa </w:t>
      </w:r>
      <w:r w:rsidRPr="00956FCE">
        <w:rPr>
          <w:rFonts w:ascii="Cambria Math" w:hAnsi="Cambria Math" w:cs="Calibri Light"/>
          <w:color w:val="000000"/>
          <w:sz w:val="20"/>
          <w:szCs w:val="20"/>
        </w:rPr>
        <w:t>(Cambridge: Cambridge University Press, 2006), 16.</w:t>
      </w:r>
      <w:r w:rsidRPr="00956FCE">
        <w:rPr>
          <w:rFonts w:ascii="Cambria Math" w:hAnsi="Cambria Math"/>
          <w:noProof/>
          <w:sz w:val="20"/>
          <w:szCs w:val="20"/>
        </w:rPr>
        <w:t>.</w:t>
      </w:r>
      <w:r w:rsidRPr="00956FCE">
        <w:rPr>
          <w:rFonts w:ascii="Cambria Math" w:hAnsi="Cambria Math"/>
          <w:sz w:val="20"/>
          <w:szCs w:val="20"/>
        </w:rPr>
        <w:fldChar w:fldCharType="end"/>
      </w:r>
    </w:p>
  </w:footnote>
  <w:footnote w:id="2">
    <w:p w14:paraId="54DDAE4F" w14:textId="77777777" w:rsidR="003F6B65" w:rsidRPr="00956FCE" w:rsidRDefault="003F6B65" w:rsidP="003F6B65">
      <w:pPr>
        <w:pStyle w:val="FootnoteText"/>
        <w:tabs>
          <w:tab w:val="left" w:pos="426"/>
        </w:tabs>
        <w:ind w:firstLine="284"/>
        <w:jc w:val="both"/>
        <w:rPr>
          <w:rFonts w:ascii="Cambria Math" w:hAnsi="Cambria Math" w:cs="Calibri Light"/>
        </w:rPr>
      </w:pPr>
      <w:r w:rsidRPr="00956FCE">
        <w:rPr>
          <w:rStyle w:val="FootnoteReference"/>
          <w:rFonts w:ascii="Cambria Math" w:hAnsi="Cambria Math"/>
        </w:rPr>
        <w:footnoteRef/>
      </w:r>
      <w:r w:rsidRPr="00956FCE">
        <w:rPr>
          <w:rFonts w:ascii="Cambria Math" w:hAnsi="Cambria Math" w:cs="Times New Roman"/>
        </w:rPr>
        <w:t xml:space="preserve"> </w:t>
      </w:r>
      <w:r w:rsidRPr="00956FCE">
        <w:rPr>
          <w:rFonts w:ascii="Cambria Math" w:hAnsi="Cambria Math" w:cs="Times New Roman"/>
        </w:rPr>
        <w:tab/>
      </w:r>
      <w:r w:rsidRPr="0095083F">
        <w:rPr>
          <w:rFonts w:ascii="Cambria Math" w:hAnsi="Cambria Math" w:cs="Times New Roman"/>
        </w:rPr>
        <w:fldChar w:fldCharType="begin" w:fldLock="1"/>
      </w:r>
      <w:r w:rsidRPr="0095083F">
        <w:rPr>
          <w:rFonts w:ascii="Cambria Math" w:hAnsi="Cambria Math" w:cs="Times New Roman"/>
        </w:rPr>
        <w:instrText>ADDIN CSL_CITATION {"citationItems":[{"id":"ITEM-1","itemData":{"DOI":"10.28946/slrev.vol1.iss1.7.pp027-043","ISSN":"2541-5298","abstract":"Indonesia and Malaysia have a good potency for cooperation in aviation industry. It can be seen in the establishing two aviation companies namely PT. Indonesia Air Asia and Malindo which both are low-cost carrier. These aviation industries are categorized as low-cost carrier, however safety and security are absolute factors because these are rights for consumers. This article will describe further about safety and security standard; protecting the rights for consumers in connection with safety aviation in Indonesia and Malaysia from the Consumer Protection Law and the Aviation Law. As a result of the research shows that safety standard passenger for air transportation in airport covers information and safety facility in the shape of availability of the emergency safety tools (fires, accidents and natural disasters); information, area and health facility; and healthcare workers. Moreover, safety standards for passenger in an aircraft include information and safety facility in the shape of availability information and the emergency safety tools for passenger in an aircraft. The protection for consumer rights for safety flight in Indonesia as follows: aviation industry has obligation to fulfill minimum standard of safety and security; consumers must be safety from false information which raises concern; aircraft operation which endanger of the passenger; and consumer protection in operating the electronic device which endanger flight. On the other hand, the law of consumer rights in Malaysia relating to aviation are ruled under the Aviation Law as a result of the Warsaw Convention 1929. In conclusion, the verdict of consumer rights related to security aviation begins when the passenger enter to an aircraft, in the aircraft, and by the time they get off the plane.","author":[{"dropping-particle":"","family":"Yahanan","given":"Annalisa","non-dropping-particle":"","parse-names":false,"suffix":""},{"dropping-particle":"","family":"Febrian","given":"Febrian","non-dropping-particle":"","parse-names":false,"suffix":""},{"dropping-particle":"","family":"Rahim","given":"Rohani Abdul","non-dropping-particle":"","parse-names":false,"suffix":""}],"container-title":"Sriwijaya Law Review","id":"ITEM-1","issue":"1","issued":{"date-parts":[["2017"]]},"title":"The Protection of Consumer Rights for Aviation Savety and Security in Indonesia and Malaysia","type":"article-journal","volume":"1"},"uris":["http://www.mendeley.com/documents/?uuid=4d3a50c9-3d0d-4c54-b2e4-6df368209c75"]}],"mendeley":{"formattedCitation":"Annalisa Yahanan, Febrian Febrian, and Rohani Abdul Rahim, ‘The Protection of Consumer Rights for Aviation Savety and Security in Indonesia and Malaysia’, &lt;i&gt;Sriwijaya Law Review&lt;/i&gt;, 1.1 (2017) &lt;https://doi.org/10.28946/slrev.vol1.iss1.7.pp027-043&gt;.","plainTextFormattedCitation":"Annalisa Yahanan, Febrian Febrian, and Rohani Abdul Rahim, ‘The Protection of Consumer Rights for Aviation Savety and Security in Indonesia and Malaysia’, Sriwijaya Law Review, 1.1 (2017) .","previouslyFormattedCitation":"Annalisa Yahanan, Febrian Febrian, and Rohani Abdul Rahim, ‘The Protection of Consumer Rights for Aviation Savety and Security in Indonesia and Malaysia’, &lt;i&gt;Sriwijaya Law Review&lt;/i&gt;, 1.1 (2017) &lt;https://doi.org/10.28946/slrev.vol1.iss1.7.pp027-043&gt;."},"properties":{"noteIndex":3},"schema":"https://github.com/citation-style-language/schema/raw/master/csl-citation.json"}</w:instrText>
      </w:r>
      <w:r w:rsidRPr="0095083F">
        <w:rPr>
          <w:rFonts w:ascii="Cambria Math" w:hAnsi="Cambria Math" w:cs="Times New Roman"/>
        </w:rPr>
        <w:fldChar w:fldCharType="separate"/>
      </w:r>
      <w:r w:rsidRPr="00A96148">
        <w:rPr>
          <w:rFonts w:ascii="Cambria Math" w:hAnsi="Cambria Math" w:cs="Calibri Light"/>
        </w:rPr>
        <w:t xml:space="preserve"> </w:t>
      </w:r>
      <w:r w:rsidRPr="003F6B65">
        <w:rPr>
          <w:rFonts w:ascii="Cambria Math" w:hAnsi="Cambria Math" w:cs="Calibri Light"/>
        </w:rPr>
        <w:t>Reuters</w:t>
      </w:r>
      <w:r w:rsidRPr="0095083F">
        <w:rPr>
          <w:rFonts w:ascii="Cambria Math" w:hAnsi="Cambria Math" w:cs="Calibri Light"/>
        </w:rPr>
        <w:t>, “</w:t>
      </w:r>
      <w:r w:rsidRPr="003F6B65">
        <w:rPr>
          <w:rFonts w:ascii="Cambria Math" w:hAnsi="Cambria Math"/>
          <w:kern w:val="36"/>
          <w:lang w:eastAsia="en-US"/>
        </w:rPr>
        <w:t>UK agrees to end digital services tax after global tax reform", 22 Oktober 2021</w:t>
      </w:r>
      <w:r w:rsidRPr="0095083F">
        <w:rPr>
          <w:rFonts w:ascii="Cambria Math" w:hAnsi="Cambria Math" w:cs="Calibri Light"/>
        </w:rPr>
        <w:t xml:space="preserve">, </w:t>
      </w:r>
      <w:r w:rsidRPr="003F6B65">
        <w:rPr>
          <w:rFonts w:ascii="Cambria Math" w:hAnsi="Cambria Math" w:cs="Calibri Light"/>
        </w:rPr>
        <w:t>a</w:t>
      </w:r>
      <w:r w:rsidRPr="0095083F">
        <w:rPr>
          <w:rFonts w:ascii="Cambria Math" w:hAnsi="Cambria Math" w:cs="Calibri Light"/>
        </w:rPr>
        <w:t xml:space="preserve">ccessed </w:t>
      </w:r>
      <w:r w:rsidRPr="003F6B65">
        <w:rPr>
          <w:rFonts w:ascii="Cambria Math" w:hAnsi="Cambria Math" w:cs="Calibri Light"/>
        </w:rPr>
        <w:t>on October</w:t>
      </w:r>
      <w:r w:rsidRPr="0095083F">
        <w:rPr>
          <w:rFonts w:ascii="Cambria Math" w:hAnsi="Cambria Math" w:cs="Calibri Light"/>
        </w:rPr>
        <w:t xml:space="preserve"> 13, 20</w:t>
      </w:r>
      <w:r w:rsidRPr="003F6B65">
        <w:rPr>
          <w:rFonts w:ascii="Cambria Math" w:hAnsi="Cambria Math" w:cs="Calibri Light"/>
        </w:rPr>
        <w:t>21</w:t>
      </w:r>
      <w:r w:rsidRPr="0095083F">
        <w:rPr>
          <w:rFonts w:ascii="Cambria Math" w:hAnsi="Cambria Math" w:cs="Calibri Light"/>
        </w:rPr>
        <w:t xml:space="preserve">, </w:t>
      </w:r>
      <w:r w:rsidRPr="0095083F">
        <w:rPr>
          <w:rFonts w:ascii="Cambria Math" w:hAnsi="Cambria Math" w:cs="Times New Roman"/>
        </w:rPr>
        <w:fldChar w:fldCharType="end"/>
      </w:r>
      <w:r w:rsidRPr="0095083F">
        <w:rPr>
          <w:rFonts w:ascii="Cambria Math" w:hAnsi="Cambria Math"/>
        </w:rPr>
        <w:t xml:space="preserve"> </w:t>
      </w:r>
      <w:hyperlink r:id="rId1" w:history="1">
        <w:r w:rsidRPr="003F6B65">
          <w:rPr>
            <w:rStyle w:val="Hyperlink"/>
            <w:rFonts w:ascii="Cambria Math" w:hAnsi="Cambria Math"/>
            <w:bCs/>
            <w:color w:val="000000"/>
            <w:kern w:val="36"/>
            <w:lang w:eastAsia="en-US"/>
          </w:rPr>
          <w:t>https://www.reuters.com/technology/uk-agrees-end-digital-services-tax-after-global-tax-reform-2021-10-21/</w:t>
        </w:r>
      </w:hyperlink>
      <w:r w:rsidRPr="003F6B65">
        <w:rPr>
          <w:rFonts w:ascii="Cambria Math" w:hAnsi="Cambria Math"/>
          <w:kern w:val="36"/>
          <w:lang w:eastAsia="en-US"/>
        </w:rPr>
        <w:t>.</w:t>
      </w:r>
    </w:p>
  </w:footnote>
  <w:footnote w:id="3">
    <w:p w14:paraId="5774EF3B" w14:textId="77777777" w:rsidR="003F6B65" w:rsidRPr="00956FCE" w:rsidRDefault="003F6B65" w:rsidP="003F6B65">
      <w:pPr>
        <w:pStyle w:val="FootnoteText"/>
        <w:ind w:firstLine="270"/>
        <w:jc w:val="both"/>
        <w:rPr>
          <w:rFonts w:ascii="Cambria Math" w:hAnsi="Cambria Math" w:cs="Times New Roman"/>
          <w:lang w:val="en-US"/>
        </w:rPr>
      </w:pPr>
      <w:r w:rsidRPr="00956FCE">
        <w:rPr>
          <w:rStyle w:val="FootnoteReference"/>
          <w:rFonts w:ascii="Cambria Math" w:hAnsi="Cambria Math"/>
        </w:rPr>
        <w:footnoteRef/>
      </w:r>
      <w:r w:rsidRPr="00956FCE">
        <w:rPr>
          <w:rFonts w:ascii="Cambria Math" w:hAnsi="Cambria Math" w:cs="Times New Roman"/>
        </w:rPr>
        <w:t xml:space="preserve"> </w:t>
      </w:r>
      <w:r w:rsidRPr="00956FCE">
        <w:rPr>
          <w:rFonts w:ascii="Cambria Math" w:hAnsi="Cambria Math" w:cs="Times New Roman"/>
        </w:rPr>
        <w:tab/>
      </w:r>
      <w:r w:rsidRPr="00956FCE">
        <w:rPr>
          <w:rFonts w:ascii="Cambria Math" w:hAnsi="Cambria Math" w:cs="Calibri Light"/>
          <w:color w:val="000000"/>
        </w:rPr>
        <w:t>Werner Menski,</w:t>
      </w:r>
      <w:r w:rsidRPr="00956FCE">
        <w:rPr>
          <w:rFonts w:ascii="Cambria Math" w:hAnsi="Cambria Math" w:cs="Calibri Light"/>
          <w:color w:val="000000"/>
          <w:lang w:val="en-US"/>
        </w:rPr>
        <w:t xml:space="preserve"> </w:t>
      </w:r>
      <w:proofErr w:type="spellStart"/>
      <w:r w:rsidRPr="0095083F">
        <w:rPr>
          <w:rFonts w:ascii="Cambria Math" w:hAnsi="Cambria Math" w:cs="Calibri Light"/>
          <w:i/>
          <w:color w:val="000000"/>
          <w:lang w:val="en-US"/>
        </w:rPr>
        <w:t>Op.cit</w:t>
      </w:r>
      <w:proofErr w:type="spellEnd"/>
      <w:r w:rsidRPr="00956FCE">
        <w:rPr>
          <w:rFonts w:ascii="Cambria Math" w:hAnsi="Cambria Math" w:cs="Calibri Light"/>
          <w:color w:val="000000"/>
          <w:lang w:val="en-US"/>
        </w:rPr>
        <w:t>., 15</w:t>
      </w:r>
    </w:p>
  </w:footnote>
  <w:footnote w:id="4">
    <w:p w14:paraId="3C0A7ECE" w14:textId="77777777" w:rsidR="003F6B65" w:rsidRPr="000333E6" w:rsidRDefault="003F6B65" w:rsidP="003F6B65">
      <w:pPr>
        <w:pStyle w:val="FootnoteText"/>
        <w:ind w:left="284"/>
        <w:jc w:val="both"/>
        <w:rPr>
          <w:rFonts w:ascii="Cambria Math" w:hAnsi="Cambria Math" w:cs="Times New Roman"/>
          <w:lang w:val="en-US"/>
        </w:rPr>
      </w:pPr>
      <w:r w:rsidRPr="00956FCE">
        <w:rPr>
          <w:rStyle w:val="FootnoteReference"/>
          <w:rFonts w:ascii="Cambria Math" w:hAnsi="Cambria Math"/>
        </w:rPr>
        <w:footnoteRef/>
      </w:r>
      <w:r w:rsidRPr="00956FCE">
        <w:rPr>
          <w:rFonts w:ascii="Cambria Math" w:hAnsi="Cambria Math" w:cs="Times New Roman"/>
        </w:rPr>
        <w:t xml:space="preserve"> </w:t>
      </w:r>
      <w:r w:rsidRPr="00956FCE">
        <w:rPr>
          <w:rFonts w:ascii="Cambria Math" w:hAnsi="Cambria Math" w:cs="Times New Roman"/>
        </w:rPr>
        <w:tab/>
      </w:r>
      <w:r w:rsidRPr="00D52D98">
        <w:rPr>
          <w:rFonts w:ascii="Cambria Math" w:hAnsi="Cambria Math" w:cs="Times New Roman"/>
        </w:rPr>
        <w:fldChar w:fldCharType="begin" w:fldLock="1"/>
      </w:r>
      <w:r w:rsidRPr="00D52D98">
        <w:rPr>
          <w:rFonts w:ascii="Cambria Math" w:hAnsi="Cambria Math" w:cs="Times New Roman"/>
        </w:rPr>
        <w:instrText>ADDIN CSL_CITATION {"citationItems":[{"id":"ITEM-1","itemData":{"abstract":"Dalam Undang-undang ini yang dimaksud dengan : 1. Hak Asasi Manusia adalah seperangkat hak yang melekat pada hakikat dan keberadaan manusia sebagai mahkluk Tuhan Yang Maha Esa dan merupakan anugerah-Nya yang wajib dihormati, dijunjung tinggi dan dilindungi oleh negara, hukum, Pemerintah, dan setiap orang demi kehormatan serta perlindungan harkat dan martabat manusia; 2. Kewajiban dasar manusia adalah seperangkat kewajiban yang apabila tidak dilaksanakan, tidak memungkinkan terlaksana dan tegaknya hak asasi manusia. 3. Diskriminasi adalah setiap pembatasan, pelecehan, atau pengucilan yang langsung ataupun tak langsung didasarkan pada pembedaan manusia atas dasar agama, suku, ras, etnik, kelompok, golongan, status sosial, status ekonomi, jenis kelamin, bahasa, keyakinan politik, yang berakibat pengurangan, penyimpangan atau penghapusan pengakuan, pelaksanaan atau penggunaan hak asasi manusia dan kebebasan dasar dalam kehidupan baik individual maupun kolektif dalam bidang politik, ekonomi, hukum, sosial, budaya, dan aspek kehidupan lainnya. 4. Penyiksaan adalah setiap perbuatan yang dilakukan dengan sengaja, sehingga menimbulkan rasa sakit atau penderitaan yang hebat, baik jasmasi maupun rohani, pada seseorang untuk memperoleh pengakuan atau keterangan dari seseorang atau dari orang ketiga, dengan menghukumnya atas suatu perbuatan yang telah dilakukan atau diduga telah dilakukan oleh seseorang atau orang ketiga, atau untuk suatu alasan yang didasarkan pada setiap bentuk diskriminasi, apabila rasa sakit atau penderitaan tersebut ditimbulkan oleh, atas hasutan dari, dengan persetujuan, atau sepengetahuan siapapun dan atau pejabat publik. 5. Anak adalah setiap manusia yang berusia di bawah 18 (delapan belas) tahun dan belum menikah, termasuk anak yang masih dalam kandungan apabila hal tersebut adalah demi kepentingannya.","id":"ITEM-1","issued":{"date-parts":[["1999"]]},"title":"The Law Number 39 of 1999 on Human Rights","type":"legislation"},"uris":["http://www.mendeley.com/documents/?uuid=321bbebe-0f63-4461-9f5e-ffb0f22db607"]}],"mendeley":{"formattedCitation":"&lt;i&gt;The Law Number 39 of 1999 on Human Rights&lt;/i&gt;, 1999.","plainTextFormattedCitation":"The Law Number 39 of 1999 on Human Rights, 1999.","previouslyFormattedCitation":"&lt;i&gt;The Law Number 39 of 1999 on Human Rights&lt;/i&gt;, 1999."},"properties":{"noteIndex":7},"schema":"https://github.com/citation-style-language/schema/raw/master/csl-citation.json"}</w:instrText>
      </w:r>
      <w:r w:rsidRPr="00D52D98">
        <w:rPr>
          <w:rFonts w:ascii="Cambria Math" w:hAnsi="Cambria Math" w:cs="Times New Roman"/>
        </w:rPr>
        <w:fldChar w:fldCharType="separate"/>
      </w:r>
      <w:r w:rsidRPr="00D52D98">
        <w:rPr>
          <w:rFonts w:ascii="Cambria Math" w:hAnsi="Cambria Math" w:cs="Times New Roman"/>
          <w:noProof/>
        </w:rPr>
        <w:t xml:space="preserve">The Law Number </w:t>
      </w:r>
      <w:r w:rsidRPr="00D52D98">
        <w:rPr>
          <w:rFonts w:ascii="Cambria Math" w:hAnsi="Cambria Math" w:cs="Times New Roman"/>
          <w:noProof/>
          <w:lang w:val="en-US"/>
        </w:rPr>
        <w:t>7</w:t>
      </w:r>
      <w:r w:rsidRPr="00D52D98">
        <w:rPr>
          <w:rFonts w:ascii="Cambria Math" w:hAnsi="Cambria Math" w:cs="Times New Roman"/>
          <w:noProof/>
        </w:rPr>
        <w:t xml:space="preserve">of </w:t>
      </w:r>
      <w:r w:rsidRPr="00D52D98">
        <w:rPr>
          <w:rFonts w:ascii="Cambria Math" w:hAnsi="Cambria Math" w:cs="Times New Roman"/>
          <w:noProof/>
          <w:lang w:val="en-US"/>
        </w:rPr>
        <w:t>2021</w:t>
      </w:r>
      <w:r w:rsidRPr="00D52D98">
        <w:rPr>
          <w:rFonts w:ascii="Cambria Math" w:hAnsi="Cambria Math" w:cs="Times New Roman"/>
          <w:noProof/>
        </w:rPr>
        <w:t xml:space="preserve"> </w:t>
      </w:r>
      <w:r w:rsidRPr="00D52D98">
        <w:rPr>
          <w:rFonts w:ascii="Cambria Math" w:hAnsi="Cambria Math" w:cs="Times New Roman"/>
          <w:noProof/>
          <w:lang w:val="en-US"/>
        </w:rPr>
        <w:t>regarding</w:t>
      </w:r>
      <w:r w:rsidRPr="00D52D98">
        <w:rPr>
          <w:rFonts w:ascii="Cambria Math" w:hAnsi="Cambria Math" w:cs="Times New Roman"/>
          <w:noProof/>
        </w:rPr>
        <w:t xml:space="preserve"> </w:t>
      </w:r>
      <w:r w:rsidRPr="00D52D98">
        <w:rPr>
          <w:rFonts w:ascii="Cambria Math" w:hAnsi="Cambria Math" w:cs="Times New Roman"/>
          <w:noProof/>
          <w:lang w:val="en-US"/>
        </w:rPr>
        <w:t>Harmonization of Taxation</w:t>
      </w:r>
      <w:r w:rsidRPr="00D52D98">
        <w:rPr>
          <w:rFonts w:ascii="Cambria Math" w:hAnsi="Cambria Math" w:cs="Times New Roman"/>
          <w:noProof/>
        </w:rPr>
        <w:t xml:space="preserve">, </w:t>
      </w:r>
      <w:r w:rsidRPr="00D52D98">
        <w:rPr>
          <w:rFonts w:ascii="Cambria Math" w:hAnsi="Cambria Math" w:cs="Times New Roman"/>
          <w:noProof/>
          <w:lang w:val="en-US"/>
        </w:rPr>
        <w:t>2021</w:t>
      </w:r>
      <w:r w:rsidRPr="00D52D98">
        <w:rPr>
          <w:rFonts w:ascii="Cambria Math" w:hAnsi="Cambria Math" w:cs="Times New Roman"/>
          <w:noProof/>
        </w:rPr>
        <w:t>.</w:t>
      </w:r>
      <w:r w:rsidRPr="00D52D98">
        <w:rPr>
          <w:rFonts w:ascii="Cambria Math" w:hAnsi="Cambria Math" w:cs="Times New Roman"/>
        </w:rPr>
        <w:fldChar w:fldCharType="end"/>
      </w:r>
    </w:p>
  </w:footnote>
  <w:footnote w:id="5">
    <w:p w14:paraId="79AF6C8A" w14:textId="77777777" w:rsidR="003F6B65" w:rsidRPr="00B8243B" w:rsidRDefault="003F6B65" w:rsidP="003F6B65">
      <w:pPr>
        <w:pStyle w:val="FootnoteText"/>
        <w:jc w:val="both"/>
        <w:rPr>
          <w:rFonts w:ascii="Cambria Math" w:hAnsi="Cambria Math"/>
        </w:rPr>
      </w:pPr>
      <w:r w:rsidRPr="00B8243B">
        <w:rPr>
          <w:rFonts w:ascii="Cambria Math" w:hAnsi="Cambria Math"/>
        </w:rPr>
        <w:t xml:space="preserve">          </w:t>
      </w:r>
      <w:r w:rsidRPr="00B8243B">
        <w:rPr>
          <w:rStyle w:val="FootnoteReference"/>
          <w:rFonts w:ascii="Cambria Math" w:hAnsi="Cambria Math"/>
        </w:rPr>
        <w:footnoteRef/>
      </w:r>
      <w:r>
        <w:rPr>
          <w:rFonts w:ascii="Cambria Math" w:hAnsi="Cambria Math"/>
          <w:lang w:val="en-US"/>
        </w:rPr>
        <w:t xml:space="preserve"> </w:t>
      </w:r>
      <w:r w:rsidRPr="00B8243B">
        <w:rPr>
          <w:rFonts w:ascii="Cambria Math" w:hAnsi="Cambria Math"/>
        </w:rPr>
        <w:t xml:space="preserve">Fleming James, Jr., </w:t>
      </w:r>
      <w:r w:rsidRPr="00B8243B">
        <w:rPr>
          <w:rFonts w:ascii="Cambria Math" w:hAnsi="Cambria Math"/>
          <w:lang w:val="en-US"/>
        </w:rPr>
        <w:t>“</w:t>
      </w:r>
      <w:r w:rsidRPr="00B8243B">
        <w:rPr>
          <w:rFonts w:ascii="Cambria Math" w:hAnsi="Cambria Math"/>
        </w:rPr>
        <w:t>General Products-Should Manufacturers be Liable without Negligence?</w:t>
      </w:r>
      <w:r w:rsidRPr="00B8243B">
        <w:rPr>
          <w:rFonts w:ascii="Cambria Math" w:hAnsi="Cambria Math"/>
          <w:lang w:val="en-US"/>
        </w:rPr>
        <w:t>”</w:t>
      </w:r>
      <w:r w:rsidRPr="00B8243B">
        <w:rPr>
          <w:rFonts w:ascii="Cambria Math" w:hAnsi="Cambria Math"/>
        </w:rPr>
        <w:t xml:space="preserve">, </w:t>
      </w:r>
      <w:r w:rsidRPr="002A3847">
        <w:rPr>
          <w:rFonts w:ascii="Cambria Math" w:hAnsi="Cambria Math"/>
          <w:i/>
        </w:rPr>
        <w:t>Tennesse Law Review</w:t>
      </w:r>
      <w:r w:rsidRPr="00B8243B">
        <w:rPr>
          <w:rFonts w:ascii="Cambria Math" w:hAnsi="Cambria Math"/>
          <w:lang w:val="en-US"/>
        </w:rPr>
        <w:t xml:space="preserve"> </w:t>
      </w:r>
      <w:r w:rsidRPr="00B8243B">
        <w:rPr>
          <w:rFonts w:ascii="Cambria Math" w:hAnsi="Cambria Math"/>
        </w:rPr>
        <w:t>24</w:t>
      </w:r>
      <w:r w:rsidRPr="00B8243B">
        <w:rPr>
          <w:rFonts w:ascii="Cambria Math" w:hAnsi="Cambria Math"/>
          <w:lang w:val="en-US"/>
        </w:rPr>
        <w:t xml:space="preserve"> n</w:t>
      </w:r>
      <w:r w:rsidRPr="00B8243B">
        <w:rPr>
          <w:rFonts w:ascii="Cambria Math" w:hAnsi="Cambria Math"/>
        </w:rPr>
        <w:t>o. 7</w:t>
      </w:r>
      <w:r w:rsidRPr="00B8243B">
        <w:rPr>
          <w:rFonts w:ascii="Cambria Math" w:hAnsi="Cambria Math"/>
          <w:lang w:val="en-US"/>
        </w:rPr>
        <w:t xml:space="preserve"> (</w:t>
      </w:r>
      <w:r w:rsidRPr="00B8243B">
        <w:rPr>
          <w:rFonts w:ascii="Cambria Math" w:hAnsi="Cambria Math"/>
        </w:rPr>
        <w:t>1957</w:t>
      </w:r>
      <w:r w:rsidRPr="00B8243B">
        <w:rPr>
          <w:rFonts w:ascii="Cambria Math" w:hAnsi="Cambria Math"/>
          <w:lang w:val="en-US"/>
        </w:rPr>
        <w:t>):</w:t>
      </w:r>
      <w:r w:rsidRPr="00B8243B">
        <w:rPr>
          <w:rFonts w:ascii="Cambria Math" w:hAnsi="Cambria Math"/>
        </w:rPr>
        <w:t xml:space="preserve"> </w:t>
      </w:r>
      <w:r w:rsidRPr="00B8243B">
        <w:rPr>
          <w:rFonts w:ascii="Cambria Math" w:hAnsi="Cambria Math"/>
        </w:rPr>
        <w:t xml:space="preserve">923-927, </w:t>
      </w:r>
      <w:hyperlink r:id="rId2" w:history="1">
        <w:r w:rsidRPr="00956FCE">
          <w:rPr>
            <w:rStyle w:val="Hyperlink"/>
            <w:rFonts w:ascii="Cambria Math" w:hAnsi="Cambria Math" w:cs="Calibri Light"/>
            <w:color w:val="C00000"/>
          </w:rPr>
          <w:t>10.20956/</w:t>
        </w:r>
        <w:r>
          <w:rPr>
            <w:rStyle w:val="Hyperlink"/>
            <w:rFonts w:ascii="Cambria Math" w:hAnsi="Cambria Math" w:cs="Calibri Light"/>
            <w:color w:val="C00000"/>
            <w:lang w:val="en-US"/>
          </w:rPr>
          <w:t>xyz.123456</w:t>
        </w:r>
        <w:r w:rsidRPr="00956FCE">
          <w:rPr>
            <w:rStyle w:val="Hyperlink"/>
            <w:rFonts w:ascii="Cambria Math" w:hAnsi="Cambria Math" w:cs="Calibri Light"/>
            <w:color w:val="C00000"/>
          </w:rPr>
          <w:t>.</w:t>
        </w:r>
      </w:hyperlink>
      <w:r w:rsidRPr="00B8243B">
        <w:rPr>
          <w:rFonts w:ascii="Cambria Math" w:hAnsi="Cambria Mat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51BC" w14:textId="77777777" w:rsidR="003F6B65" w:rsidRPr="000C5AB2" w:rsidRDefault="003F6B65" w:rsidP="000C5AB2">
    <w:pPr>
      <w:pStyle w:val="Header"/>
      <w:jc w:val="center"/>
      <w:rPr>
        <w:rFonts w:ascii="Times New Roman" w:hAnsi="Times New Roman"/>
        <w:sz w:val="16"/>
        <w:szCs w:val="16"/>
      </w:rPr>
    </w:pPr>
    <w:r w:rsidRPr="000C5AB2">
      <w:rPr>
        <w:rFonts w:ascii="Times New Roman" w:hAnsi="Times New Roman"/>
        <w:sz w:val="16"/>
        <w:szCs w:val="16"/>
      </w:rPr>
      <w:t>Author’s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91E6" w14:textId="6C3FB42C" w:rsidR="003F6B65" w:rsidRPr="00B41C61" w:rsidRDefault="00B41C61" w:rsidP="00B41C61">
    <w:pPr>
      <w:pStyle w:val="Header"/>
      <w:jc w:val="center"/>
      <w:rPr>
        <w:rFonts w:asciiTheme="majorBidi" w:hAnsiTheme="majorBidi" w:cstheme="majorBidi"/>
        <w:sz w:val="16"/>
        <w:szCs w:val="16"/>
      </w:rPr>
    </w:pPr>
    <w:r w:rsidRPr="00B41C61">
      <w:rPr>
        <w:rFonts w:asciiTheme="majorBidi" w:hAnsiTheme="majorBidi" w:cstheme="majorBidi"/>
        <w:sz w:val="16"/>
        <w:szCs w:val="16"/>
        <w:lang w:val="en-GB"/>
      </w:rPr>
      <w:t>The Title Are Written in Cambria Math (16 Pt) and Preferably Not More Than 14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A5E"/>
    <w:multiLevelType w:val="hybridMultilevel"/>
    <w:tmpl w:val="31947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646077"/>
    <w:multiLevelType w:val="hybridMultilevel"/>
    <w:tmpl w:val="1CE85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AC7C77"/>
    <w:multiLevelType w:val="hybridMultilevel"/>
    <w:tmpl w:val="F4E47D0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F211F"/>
    <w:multiLevelType w:val="hybridMultilevel"/>
    <w:tmpl w:val="BCD0F048"/>
    <w:lvl w:ilvl="0" w:tplc="ADE254C0">
      <w:start w:val="1"/>
      <w:numFmt w:val="lowerLetter"/>
      <w:pStyle w:val="Heading3"/>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A1D0B17"/>
    <w:multiLevelType w:val="hybridMultilevel"/>
    <w:tmpl w:val="2C30757E"/>
    <w:lvl w:ilvl="0" w:tplc="E95ABE9C">
      <w:start w:val="1"/>
      <w:numFmt w:val="decimal"/>
      <w:pStyle w:val="Heading2"/>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45012923">
    <w:abstractNumId w:val="1"/>
  </w:num>
  <w:num w:numId="2" w16cid:durableId="1920097935">
    <w:abstractNumId w:val="0"/>
  </w:num>
  <w:num w:numId="3" w16cid:durableId="1013535497">
    <w:abstractNumId w:val="5"/>
  </w:num>
  <w:num w:numId="4" w16cid:durableId="350764577">
    <w:abstractNumId w:val="4"/>
  </w:num>
  <w:num w:numId="5" w16cid:durableId="665520985">
    <w:abstractNumId w:val="2"/>
  </w:num>
  <w:num w:numId="6" w16cid:durableId="1164931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B65"/>
    <w:rsid w:val="00131881"/>
    <w:rsid w:val="00340310"/>
    <w:rsid w:val="003F6B65"/>
    <w:rsid w:val="00590B7B"/>
    <w:rsid w:val="005F5409"/>
    <w:rsid w:val="00A7624D"/>
    <w:rsid w:val="00B41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1E3"/>
  <w15:docId w15:val="{50EF0766-AFA2-4538-BEEE-7FE740F2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65"/>
    <w:rPr>
      <w:rFonts w:ascii="Calibri" w:eastAsia="Times New Roman" w:hAnsi="Calibri" w:cs="Arial"/>
      <w:lang w:val="id-ID" w:eastAsia="id-ID"/>
    </w:rPr>
  </w:style>
  <w:style w:type="paragraph" w:styleId="Heading1">
    <w:name w:val="heading 1"/>
    <w:aliases w:val="SLRev Heading 1"/>
    <w:basedOn w:val="Normal"/>
    <w:next w:val="Normal"/>
    <w:link w:val="Heading1Char"/>
    <w:uiPriority w:val="9"/>
    <w:qFormat/>
    <w:rsid w:val="003F6B65"/>
    <w:pPr>
      <w:keepNext/>
      <w:keepLines/>
      <w:spacing w:before="240" w:after="0"/>
      <w:outlineLvl w:val="0"/>
    </w:pPr>
    <w:rPr>
      <w:rFonts w:ascii="Times New Roman" w:hAnsi="Times New Roman" w:cs="Times New Roman"/>
      <w:b/>
      <w:caps/>
      <w:color w:val="000000"/>
      <w:sz w:val="24"/>
      <w:szCs w:val="32"/>
    </w:rPr>
  </w:style>
  <w:style w:type="paragraph" w:styleId="Heading2">
    <w:name w:val="heading 2"/>
    <w:aliases w:val="SLRev Heading 2"/>
    <w:basedOn w:val="Normal"/>
    <w:next w:val="Normal"/>
    <w:link w:val="Heading2Char"/>
    <w:autoRedefine/>
    <w:uiPriority w:val="9"/>
    <w:unhideWhenUsed/>
    <w:qFormat/>
    <w:rsid w:val="003F6B65"/>
    <w:pPr>
      <w:keepNext/>
      <w:numPr>
        <w:numId w:val="3"/>
      </w:numPr>
      <w:spacing w:after="0"/>
      <w:ind w:left="540" w:hanging="270"/>
      <w:outlineLvl w:val="1"/>
    </w:pPr>
    <w:rPr>
      <w:rFonts w:ascii="Times New Roman" w:hAnsi="Times New Roman" w:cs="Times New Roman"/>
      <w:b/>
      <w:bCs/>
      <w:iCs/>
      <w:sz w:val="24"/>
      <w:szCs w:val="28"/>
    </w:rPr>
  </w:style>
  <w:style w:type="paragraph" w:styleId="Heading3">
    <w:name w:val="heading 3"/>
    <w:aliases w:val="SLRev Heading 3"/>
    <w:basedOn w:val="Normal"/>
    <w:next w:val="Normal"/>
    <w:link w:val="Heading3Char"/>
    <w:autoRedefine/>
    <w:uiPriority w:val="9"/>
    <w:unhideWhenUsed/>
    <w:qFormat/>
    <w:rsid w:val="003F6B65"/>
    <w:pPr>
      <w:keepNext/>
      <w:keepLines/>
      <w:numPr>
        <w:numId w:val="4"/>
      </w:numPr>
      <w:spacing w:after="0" w:line="259" w:lineRule="auto"/>
      <w:ind w:left="810" w:hanging="270"/>
      <w:outlineLvl w:val="2"/>
    </w:pPr>
    <w:rPr>
      <w:rFonts w:ascii="Times New Roman" w:hAnsi="Times New Roman" w:cs="Times New Roman"/>
      <w:b/>
      <w: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Rev Heading 1 Char"/>
    <w:basedOn w:val="DefaultParagraphFont"/>
    <w:link w:val="Heading1"/>
    <w:uiPriority w:val="9"/>
    <w:rsid w:val="003F6B65"/>
    <w:rPr>
      <w:rFonts w:ascii="Times New Roman" w:eastAsia="Times New Roman" w:hAnsi="Times New Roman" w:cs="Times New Roman"/>
      <w:b/>
      <w:caps/>
      <w:color w:val="000000"/>
      <w:sz w:val="24"/>
      <w:szCs w:val="32"/>
      <w:lang w:val="id-ID" w:eastAsia="id-ID"/>
    </w:rPr>
  </w:style>
  <w:style w:type="character" w:customStyle="1" w:styleId="Heading2Char">
    <w:name w:val="Heading 2 Char"/>
    <w:aliases w:val="SLRev Heading 2 Char"/>
    <w:basedOn w:val="DefaultParagraphFont"/>
    <w:link w:val="Heading2"/>
    <w:uiPriority w:val="9"/>
    <w:rsid w:val="003F6B65"/>
    <w:rPr>
      <w:rFonts w:ascii="Times New Roman" w:eastAsia="Times New Roman" w:hAnsi="Times New Roman" w:cs="Times New Roman"/>
      <w:b/>
      <w:bCs/>
      <w:iCs/>
      <w:sz w:val="24"/>
      <w:szCs w:val="28"/>
      <w:lang w:val="id-ID" w:eastAsia="id-ID"/>
    </w:rPr>
  </w:style>
  <w:style w:type="character" w:customStyle="1" w:styleId="Heading3Char">
    <w:name w:val="Heading 3 Char"/>
    <w:aliases w:val="SLRev Heading 3 Char"/>
    <w:basedOn w:val="DefaultParagraphFont"/>
    <w:link w:val="Heading3"/>
    <w:uiPriority w:val="9"/>
    <w:rsid w:val="003F6B65"/>
    <w:rPr>
      <w:rFonts w:ascii="Times New Roman" w:eastAsia="Times New Roman" w:hAnsi="Times New Roman" w:cs="Times New Roman"/>
      <w:b/>
      <w:i/>
      <w:color w:val="000000"/>
      <w:sz w:val="24"/>
      <w:szCs w:val="24"/>
      <w:lang w:val="id-ID" w:eastAsia="id-ID"/>
    </w:rPr>
  </w:style>
  <w:style w:type="paragraph" w:styleId="FootnoteText">
    <w:name w:val="footnote text"/>
    <w:basedOn w:val="Normal"/>
    <w:link w:val="FootnoteTextChar"/>
    <w:unhideWhenUsed/>
    <w:qFormat/>
    <w:rsid w:val="003F6B65"/>
    <w:pPr>
      <w:spacing w:after="0" w:line="240" w:lineRule="auto"/>
    </w:pPr>
    <w:rPr>
      <w:sz w:val="20"/>
      <w:szCs w:val="20"/>
    </w:rPr>
  </w:style>
  <w:style w:type="character" w:customStyle="1" w:styleId="FootnoteTextChar">
    <w:name w:val="Footnote Text Char"/>
    <w:basedOn w:val="DefaultParagraphFont"/>
    <w:link w:val="FootnoteText"/>
    <w:rsid w:val="003F6B65"/>
    <w:rPr>
      <w:rFonts w:ascii="Calibri" w:eastAsia="Times New Roman" w:hAnsi="Calibri" w:cs="Arial"/>
      <w:sz w:val="20"/>
      <w:szCs w:val="20"/>
      <w:lang w:val="id-ID" w:eastAsia="id-ID"/>
    </w:rPr>
  </w:style>
  <w:style w:type="character" w:styleId="FootnoteReference">
    <w:name w:val="footnote reference"/>
    <w:uiPriority w:val="99"/>
    <w:unhideWhenUsed/>
    <w:rsid w:val="003F6B65"/>
    <w:rPr>
      <w:vertAlign w:val="superscript"/>
    </w:rPr>
  </w:style>
  <w:style w:type="paragraph" w:styleId="ListParagraph">
    <w:name w:val="List Paragraph"/>
    <w:basedOn w:val="Normal"/>
    <w:uiPriority w:val="99"/>
    <w:qFormat/>
    <w:rsid w:val="003F6B65"/>
    <w:pPr>
      <w:spacing w:after="160" w:line="259" w:lineRule="auto"/>
      <w:ind w:left="720"/>
      <w:contextualSpacing/>
    </w:pPr>
    <w:rPr>
      <w:rFonts w:cs="Times New Roman"/>
    </w:rPr>
  </w:style>
  <w:style w:type="character" w:styleId="Hyperlink">
    <w:name w:val="Hyperlink"/>
    <w:uiPriority w:val="99"/>
    <w:rsid w:val="003F6B65"/>
    <w:rPr>
      <w:rFonts w:cs="Times New Roman"/>
      <w:color w:val="0000FF"/>
      <w:u w:val="single"/>
    </w:rPr>
  </w:style>
  <w:style w:type="paragraph" w:styleId="NormalWeb">
    <w:name w:val="Normal (Web)"/>
    <w:basedOn w:val="Normal"/>
    <w:uiPriority w:val="99"/>
    <w:unhideWhenUsed/>
    <w:rsid w:val="003F6B65"/>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F6B65"/>
    <w:pPr>
      <w:tabs>
        <w:tab w:val="center" w:pos="4513"/>
        <w:tab w:val="right" w:pos="9026"/>
      </w:tabs>
      <w:spacing w:after="0" w:line="240" w:lineRule="auto"/>
    </w:pPr>
    <w:rPr>
      <w:rFonts w:cs="Times New Roman"/>
    </w:rPr>
  </w:style>
  <w:style w:type="character" w:customStyle="1" w:styleId="HeaderChar">
    <w:name w:val="Header Char"/>
    <w:basedOn w:val="DefaultParagraphFont"/>
    <w:link w:val="Header"/>
    <w:uiPriority w:val="99"/>
    <w:rsid w:val="003F6B65"/>
    <w:rPr>
      <w:rFonts w:ascii="Calibri" w:eastAsia="Times New Roman" w:hAnsi="Calibri" w:cs="Times New Roman"/>
      <w:lang w:val="id-ID" w:eastAsia="id-ID"/>
    </w:rPr>
  </w:style>
  <w:style w:type="paragraph" w:styleId="Footer">
    <w:name w:val="footer"/>
    <w:basedOn w:val="Normal"/>
    <w:link w:val="FooterChar"/>
    <w:uiPriority w:val="99"/>
    <w:unhideWhenUsed/>
    <w:rsid w:val="003F6B65"/>
    <w:pPr>
      <w:tabs>
        <w:tab w:val="center" w:pos="4680"/>
        <w:tab w:val="right" w:pos="9360"/>
      </w:tabs>
      <w:spacing w:after="0" w:line="240" w:lineRule="auto"/>
      <w:ind w:left="2137" w:hanging="357"/>
    </w:pPr>
    <w:rPr>
      <w:rFonts w:cs="Times New Roman"/>
    </w:rPr>
  </w:style>
  <w:style w:type="character" w:customStyle="1" w:styleId="FooterChar">
    <w:name w:val="Footer Char"/>
    <w:basedOn w:val="DefaultParagraphFont"/>
    <w:link w:val="Footer"/>
    <w:uiPriority w:val="99"/>
    <w:rsid w:val="003F6B65"/>
    <w:rPr>
      <w:rFonts w:ascii="Calibri" w:eastAsia="Times New Roman" w:hAnsi="Calibri" w:cs="Times New Roman"/>
      <w:lang w:val="id-ID" w:eastAsia="id-ID"/>
    </w:rPr>
  </w:style>
  <w:style w:type="paragraph" w:customStyle="1" w:styleId="Default">
    <w:name w:val="Default"/>
    <w:rsid w:val="003F6B65"/>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NoSpacing">
    <w:name w:val="No Spacing"/>
    <w:uiPriority w:val="1"/>
    <w:qFormat/>
    <w:rsid w:val="003F6B65"/>
    <w:pPr>
      <w:spacing w:after="0" w:line="240" w:lineRule="auto"/>
    </w:pPr>
    <w:rPr>
      <w:rFonts w:ascii="Times New Roman" w:eastAsia="Times New Roman" w:hAnsi="Times New Roman" w:cs="Times New Roman"/>
      <w:sz w:val="24"/>
      <w:szCs w:val="24"/>
      <w:lang w:val="id-ID" w:eastAsia="id-ID"/>
    </w:rPr>
  </w:style>
  <w:style w:type="paragraph" w:styleId="BodyText3">
    <w:name w:val="Body Text 3"/>
    <w:basedOn w:val="Normal"/>
    <w:link w:val="BodyText3Char"/>
    <w:uiPriority w:val="99"/>
    <w:unhideWhenUsed/>
    <w:rsid w:val="003F6B65"/>
    <w:pPr>
      <w:spacing w:after="120"/>
    </w:pPr>
    <w:rPr>
      <w:sz w:val="16"/>
      <w:szCs w:val="16"/>
    </w:rPr>
  </w:style>
  <w:style w:type="character" w:customStyle="1" w:styleId="BodyText3Char">
    <w:name w:val="Body Text 3 Char"/>
    <w:basedOn w:val="DefaultParagraphFont"/>
    <w:link w:val="BodyText3"/>
    <w:uiPriority w:val="99"/>
    <w:rsid w:val="003F6B65"/>
    <w:rPr>
      <w:rFonts w:ascii="Calibri" w:eastAsia="Times New Roman" w:hAnsi="Calibri" w:cs="Arial"/>
      <w:sz w:val="16"/>
      <w:szCs w:val="16"/>
      <w:lang w:val="id-ID" w:eastAsia="id-ID"/>
    </w:rPr>
  </w:style>
  <w:style w:type="paragraph" w:customStyle="1" w:styleId="SLRevTitle">
    <w:name w:val="SLRev Title"/>
    <w:basedOn w:val="Normal"/>
    <w:qFormat/>
    <w:rsid w:val="003F6B65"/>
    <w:pPr>
      <w:spacing w:after="0" w:line="240" w:lineRule="auto"/>
      <w:jc w:val="center"/>
    </w:pPr>
    <w:rPr>
      <w:rFonts w:ascii="Times New Roman" w:hAnsi="Times New Roman" w:cs="Times New Roman"/>
      <w:b/>
      <w:sz w:val="28"/>
      <w:szCs w:val="28"/>
    </w:rPr>
  </w:style>
  <w:style w:type="paragraph" w:customStyle="1" w:styleId="SLRevNumbering">
    <w:name w:val="SLRev Numbering"/>
    <w:basedOn w:val="Normal"/>
    <w:qFormat/>
    <w:rsid w:val="003F6B65"/>
    <w:pPr>
      <w:numPr>
        <w:numId w:val="1"/>
      </w:numPr>
      <w:spacing w:after="0" w:line="240" w:lineRule="auto"/>
      <w:ind w:left="357" w:hanging="357"/>
      <w:jc w:val="both"/>
    </w:pPr>
    <w:rPr>
      <w:rFonts w:ascii="Times New Roman" w:hAnsi="Times New Roman" w:cs="Times New Roman"/>
      <w:sz w:val="24"/>
      <w:szCs w:val="20"/>
      <w:lang w:val="en-US" w:eastAsia="en-US"/>
    </w:rPr>
  </w:style>
  <w:style w:type="paragraph" w:customStyle="1" w:styleId="SLRevTabel">
    <w:name w:val="SLRev Tabel"/>
    <w:basedOn w:val="Caption"/>
    <w:next w:val="Normal"/>
    <w:autoRedefine/>
    <w:qFormat/>
    <w:rsid w:val="003F6B65"/>
    <w:pPr>
      <w:spacing w:before="120" w:after="0"/>
      <w:ind w:left="822" w:hanging="822"/>
      <w:jc w:val="both"/>
    </w:pPr>
    <w:rPr>
      <w:rFonts w:ascii="Times New Roman" w:eastAsia="Calibri" w:hAnsi="Times New Roman" w:cs="Times New Roman"/>
      <w:color w:val="000000"/>
      <w:sz w:val="24"/>
      <w:szCs w:val="20"/>
      <w:lang w:val="en-US" w:eastAsia="en-US"/>
    </w:rPr>
  </w:style>
  <w:style w:type="paragraph" w:customStyle="1" w:styleId="JRMBodyText">
    <w:name w:val="JRM Body Text"/>
    <w:basedOn w:val="Normal"/>
    <w:autoRedefine/>
    <w:qFormat/>
    <w:rsid w:val="003F6B65"/>
    <w:pPr>
      <w:spacing w:after="120" w:line="240" w:lineRule="auto"/>
      <w:jc w:val="both"/>
    </w:pPr>
    <w:rPr>
      <w:rFonts w:ascii="Times New Roman" w:hAnsi="Times New Roman" w:cs="Times New Roman"/>
      <w:sz w:val="20"/>
      <w:szCs w:val="20"/>
      <w:lang w:val="en-US" w:eastAsia="en-US"/>
    </w:rPr>
  </w:style>
  <w:style w:type="paragraph" w:styleId="Caption">
    <w:name w:val="caption"/>
    <w:basedOn w:val="Normal"/>
    <w:next w:val="Normal"/>
    <w:uiPriority w:val="35"/>
    <w:semiHidden/>
    <w:unhideWhenUsed/>
    <w:qFormat/>
    <w:rsid w:val="003F6B6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B65"/>
    <w:rPr>
      <w:rFonts w:ascii="Tahoma" w:eastAsia="Times New Roman"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asca.unhas.ac.id/ojs/index.php/halrev/article/view/289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hicagomanualofstyle.org/tools_citationguide/citation-guide-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uters.com/technology/uk-agrees-end-digital-services-tax-after-global-tax-reform-2021-10-2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asca.unhas.ac.id/ojs/index.php/halrev/article/view/2892" TargetMode="External"/><Relationship Id="rId1" Type="http://schemas.openxmlformats.org/officeDocument/2006/relationships/hyperlink" Target="https://www.reuters.com/technology/uk-agrees-end-digital-services-tax-after-global-tax-reform-2021-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rois haq</cp:lastModifiedBy>
  <cp:revision>3</cp:revision>
  <dcterms:created xsi:type="dcterms:W3CDTF">2022-07-08T22:56:00Z</dcterms:created>
  <dcterms:modified xsi:type="dcterms:W3CDTF">2022-09-01T09:09:00Z</dcterms:modified>
</cp:coreProperties>
</file>